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69" w:rsidRDefault="00BB11E2" w:rsidP="00BB1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1E2">
        <w:rPr>
          <w:rFonts w:ascii="Times New Roman" w:hAnsi="Times New Roman" w:cs="Times New Roman"/>
          <w:sz w:val="28"/>
          <w:szCs w:val="28"/>
        </w:rPr>
        <w:t>Обозначение элементов  электрических цепей на схемах.</w:t>
      </w:r>
    </w:p>
    <w:p w:rsidR="00BB11E2" w:rsidRDefault="00BB11E2" w:rsidP="00BB11E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1"/>
        <w:gridCol w:w="2355"/>
        <w:gridCol w:w="3541"/>
        <w:gridCol w:w="2338"/>
      </w:tblGrid>
      <w:tr w:rsidR="00BB11E2" w:rsidRPr="00BB11E2" w:rsidTr="00BB11E2">
        <w:trPr>
          <w:trHeight w:val="559"/>
        </w:trPr>
        <w:tc>
          <w:tcPr>
            <w:tcW w:w="91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Обозначение на схемах</w:t>
            </w:r>
          </w:p>
        </w:tc>
      </w:tr>
      <w:tr w:rsidR="00BB11E2" w:rsidRPr="00BB11E2" w:rsidTr="00BB11E2">
        <w:trPr>
          <w:trHeight w:val="1104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Элемент гальванический</w:t>
            </w:r>
          </w:p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или аккумуляторный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1,5 вольта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1119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Аккумулятор кислотный.</w:t>
            </w:r>
          </w:p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Аккумулятор щелочной.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2 вольта</w:t>
            </w:r>
          </w:p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1.25 вольта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1104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Батарея из гальванических элементов или аккумуляторов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0т 2,5 вольт до нескольких десятков вольт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66800" cy="533400"/>
                  <wp:effectExtent l="1905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635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От нескольких вольт до десятков тысяч вольт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object w:dxaOrig="750" w:dyaOrig="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32.25pt" o:ole="">
                  <v:imagedata r:id="rId7" o:title=""/>
                </v:shape>
                <o:OLEObject Type="Embed" ProgID="PBrush" ShapeID="_x0000_i1025" DrawAspect="Content" ObjectID="_1452760055" r:id="rId8"/>
              </w:object>
            </w:r>
          </w:p>
        </w:tc>
      </w:tr>
      <w:tr w:rsidR="00BB11E2" w:rsidRPr="00BB11E2" w:rsidTr="00BB11E2">
        <w:trPr>
          <w:trHeight w:val="847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Лампа накаливания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От нескольких вольт до сотен вольт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635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 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От нескольких вольт до сотен вольт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object w:dxaOrig="735" w:dyaOrig="555">
                <v:shape id="_x0000_i1026" type="#_x0000_t75" style="width:42pt;height:31.5pt" o:ole="">
                  <v:imagedata r:id="rId10" o:title=""/>
                </v:shape>
                <o:OLEObject Type="Embed" ProgID="PBrush" ShapeID="_x0000_i1026" DrawAspect="Content" ObjectID="_1452760056" r:id="rId11"/>
              </w:object>
            </w:r>
          </w:p>
        </w:tc>
      </w:tr>
      <w:tr w:rsidR="00BB11E2" w:rsidRPr="00BB11E2" w:rsidTr="00BB11E2">
        <w:trPr>
          <w:trHeight w:val="832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 xml:space="preserve">Зуммер (звонок) 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От нескольких вольт до сотен вольт</w:t>
            </w: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847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Проводник (провод)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847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Соединение и ответвление проводов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832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Выключатель кнопочный нажимной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847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Выключатель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1E2" w:rsidRPr="00BB11E2" w:rsidTr="00BB11E2">
        <w:trPr>
          <w:trHeight w:val="862"/>
        </w:trPr>
        <w:tc>
          <w:tcPr>
            <w:tcW w:w="911" w:type="dxa"/>
          </w:tcPr>
          <w:p w:rsidR="00BB11E2" w:rsidRPr="00BB11E2" w:rsidRDefault="00BB11E2" w:rsidP="00BB11E2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sz w:val="24"/>
                <w:szCs w:val="24"/>
              </w:rPr>
              <w:t>Предохранитель плавкий.</w:t>
            </w:r>
          </w:p>
        </w:tc>
        <w:tc>
          <w:tcPr>
            <w:tcW w:w="3541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B11E2" w:rsidRPr="00BB11E2" w:rsidRDefault="00BB11E2" w:rsidP="00BB11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33400"/>
                  <wp:effectExtent l="1905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1E2" w:rsidRPr="00BB11E2" w:rsidRDefault="00BB11E2" w:rsidP="00BB11E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B11E2" w:rsidRPr="00BB11E2" w:rsidSect="00C94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75AFA"/>
    <w:multiLevelType w:val="hybridMultilevel"/>
    <w:tmpl w:val="C9901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1E2"/>
    <w:rsid w:val="00156117"/>
    <w:rsid w:val="00680731"/>
    <w:rsid w:val="00BB11E2"/>
    <w:rsid w:val="00C9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1" w:lineRule="exact"/>
        <w:ind w:lef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1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2014-02-01T07:38:00Z</dcterms:created>
  <dcterms:modified xsi:type="dcterms:W3CDTF">2014-02-01T07:41:00Z</dcterms:modified>
</cp:coreProperties>
</file>