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FE" w:rsidRPr="00434A9A" w:rsidRDefault="002F61FE" w:rsidP="002F61FE">
      <w:pPr>
        <w:pStyle w:val="1"/>
        <w:ind w:left="0" w:right="-5" w:firstLine="0"/>
        <w:jc w:val="right"/>
      </w:pPr>
      <w:r w:rsidRPr="00434A9A">
        <w:t>Приложение №1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 xml:space="preserve">Глюкоза - это альдегидоспирт, формула 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2F61FE">
        <w:rPr>
          <w:rFonts w:ascii="Times New Roman" w:hAnsi="Times New Roman" w:cs="Times New Roman"/>
          <w:sz w:val="28"/>
          <w:szCs w:val="28"/>
        </w:rPr>
        <w:t>. Глюкоза является белым порошком, сладким на вкус, хорошо растворимым в воде, используется в организме человека для получения энергии. Ее графическая формула( Рис.1):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00" cy="1638300"/>
            <wp:effectExtent l="19050" t="0" r="0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1FE">
        <w:rPr>
          <w:rFonts w:ascii="Times New Roman" w:hAnsi="Times New Roman" w:cs="Times New Roman"/>
          <w:sz w:val="28"/>
          <w:szCs w:val="28"/>
        </w:rPr>
        <w:t xml:space="preserve">  Рис.1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>Также глюкоза может переходить в циклическую форму (Рис.2):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8525" cy="2486025"/>
            <wp:effectExtent l="19050" t="0" r="9525" b="0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1FE">
        <w:rPr>
          <w:rFonts w:ascii="Times New Roman" w:hAnsi="Times New Roman" w:cs="Times New Roman"/>
          <w:sz w:val="28"/>
          <w:szCs w:val="28"/>
        </w:rPr>
        <w:t xml:space="preserve"> Рис.2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>При изображении циклических формул моносахаридов заместители, которые распола</w:t>
      </w:r>
      <w:r w:rsidRPr="002F61FE">
        <w:rPr>
          <w:rFonts w:ascii="Times New Roman" w:hAnsi="Times New Roman" w:cs="Times New Roman"/>
          <w:sz w:val="28"/>
          <w:szCs w:val="28"/>
        </w:rPr>
        <w:softHyphen/>
        <w:t>гались слева, остаются над плоскостью коль</w:t>
      </w:r>
      <w:r w:rsidRPr="002F61FE">
        <w:rPr>
          <w:rFonts w:ascii="Times New Roman" w:hAnsi="Times New Roman" w:cs="Times New Roman"/>
          <w:sz w:val="28"/>
          <w:szCs w:val="28"/>
        </w:rPr>
        <w:softHyphen/>
        <w:t>ца, а заместители, стоящие справа - под плоскостью кольца (Рис.3):</w:t>
      </w:r>
      <w:r w:rsidRPr="002F61FE">
        <w:rPr>
          <w:rFonts w:ascii="Times New Roman" w:hAnsi="Times New Roman" w:cs="Times New Roman"/>
          <w:sz w:val="28"/>
          <w:szCs w:val="28"/>
        </w:rPr>
        <w:br/>
      </w:r>
      <w:r w:rsidRPr="002F61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1425" cy="1876425"/>
            <wp:effectExtent l="19050" t="0" r="9525" b="0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1FE">
        <w:rPr>
          <w:rFonts w:ascii="Times New Roman" w:hAnsi="Times New Roman" w:cs="Times New Roman"/>
          <w:sz w:val="28"/>
          <w:szCs w:val="28"/>
        </w:rPr>
        <w:t xml:space="preserve"> Рис.3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lastRenderedPageBreak/>
        <w:t>В молекуле глюкозы пять гидроксогрупп и альдегидная группа, поэтому для глюкозы характерны реакции по двум функциональным группам.</w:t>
      </w:r>
    </w:p>
    <w:p w:rsidR="002F61FE" w:rsidRPr="002F61FE" w:rsidRDefault="002F61FE" w:rsidP="002F61FE">
      <w:pPr>
        <w:numPr>
          <w:ilvl w:val="0"/>
          <w:numId w:val="1"/>
        </w:num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 xml:space="preserve"> вступает в реакцию серебряного зеркала, как альдегид (Рис.4): 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7450" cy="1371600"/>
            <wp:effectExtent l="19050" t="0" r="0" b="0"/>
            <wp:docPr id="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1FE">
        <w:rPr>
          <w:rFonts w:ascii="Times New Roman" w:hAnsi="Times New Roman" w:cs="Times New Roman"/>
          <w:sz w:val="28"/>
          <w:szCs w:val="28"/>
        </w:rPr>
        <w:t xml:space="preserve">  Рис.4</w:t>
      </w:r>
    </w:p>
    <w:p w:rsidR="002F61FE" w:rsidRPr="002F61FE" w:rsidRDefault="002F61FE" w:rsidP="002F61FE">
      <w:pPr>
        <w:numPr>
          <w:ilvl w:val="0"/>
          <w:numId w:val="1"/>
        </w:num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 xml:space="preserve">Вступает  в реакцию с 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F61FE">
        <w:rPr>
          <w:rFonts w:ascii="Times New Roman" w:hAnsi="Times New Roman" w:cs="Times New Roman"/>
          <w:sz w:val="28"/>
          <w:szCs w:val="28"/>
        </w:rPr>
        <w:t>(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2F61FE">
        <w:rPr>
          <w:rFonts w:ascii="Times New Roman" w:hAnsi="Times New Roman" w:cs="Times New Roman"/>
          <w:sz w:val="28"/>
          <w:szCs w:val="28"/>
        </w:rPr>
        <w:t>)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F61FE">
        <w:rPr>
          <w:rFonts w:ascii="Times New Roman" w:hAnsi="Times New Roman" w:cs="Times New Roman"/>
          <w:sz w:val="28"/>
          <w:szCs w:val="28"/>
        </w:rPr>
        <w:t xml:space="preserve"> , как многоатомный спирт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>Глюкоза  обладает  всеми  свойствами спиртов   и   альдегидов.   Например,   альдегидная   группа может окисляться до карбонильной с образованием кислоты, вступает в реакцию с гидроксидами металлов с образованием сахаратов: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61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1425" cy="2000250"/>
            <wp:effectExtent l="19050" t="0" r="9525" b="0"/>
            <wp:docPr id="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FE" w:rsidRPr="002F61FE" w:rsidRDefault="002F61FE" w:rsidP="002F61FE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 xml:space="preserve">Также глюкоза подвергается брожению. В зависимости от ферментов могут получаться различные продукты. </w:t>
      </w:r>
    </w:p>
    <w:p w:rsidR="002F61FE" w:rsidRPr="002F61FE" w:rsidRDefault="002F61FE" w:rsidP="002F61FE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>Спиртовое брожение:</w:t>
      </w:r>
    </w:p>
    <w:p w:rsidR="002F61FE" w:rsidRPr="002F61FE" w:rsidRDefault="002F61FE" w:rsidP="002F61FE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 xml:space="preserve">                дрожжи</w:t>
      </w:r>
    </w:p>
    <w:p w:rsidR="002F61FE" w:rsidRPr="002F61FE" w:rsidRDefault="002F61FE" w:rsidP="002F61FE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 xml:space="preserve">6         </w:t>
      </w:r>
      <w:r w:rsidRPr="002F61FE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1FE">
        <w:rPr>
          <w:rFonts w:ascii="Times New Roman" w:hAnsi="Times New Roman" w:cs="Times New Roman"/>
          <w:sz w:val="28"/>
          <w:szCs w:val="28"/>
        </w:rPr>
        <w:t xml:space="preserve">           2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2F61FE">
        <w:rPr>
          <w:rFonts w:ascii="Times New Roman" w:hAnsi="Times New Roman" w:cs="Times New Roman"/>
          <w:sz w:val="28"/>
          <w:szCs w:val="28"/>
        </w:rPr>
        <w:t xml:space="preserve"> + 2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2F61FE" w:rsidRPr="002F61FE" w:rsidRDefault="002F61FE" w:rsidP="002F61FE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>Молочно кислое брожение:</w:t>
      </w:r>
    </w:p>
    <w:p w:rsidR="002F61FE" w:rsidRPr="002F61FE" w:rsidRDefault="002F61FE" w:rsidP="002F61FE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 xml:space="preserve">           молочнокислые бактерии</w:t>
      </w:r>
    </w:p>
    <w:p w:rsidR="002F61FE" w:rsidRPr="002F61FE" w:rsidRDefault="002F61FE" w:rsidP="002F61FE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2F61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 xml:space="preserve">6         </w:t>
      </w:r>
      <w:r w:rsidRPr="002F61FE">
        <w:rPr>
          <w:rFonts w:ascii="Times New Roman" w:hAnsi="Times New Roman" w:cs="Times New Roman"/>
          <w:sz w:val="28"/>
          <w:szCs w:val="28"/>
        </w:rPr>
        <w:t xml:space="preserve"> </w:t>
      </w:r>
      <w:r w:rsidRPr="002F61FE">
        <w:rPr>
          <w:rFonts w:ascii="Times New Roman" w:hAnsi="Times New Roman" w:cs="Times New Roman"/>
          <w:sz w:val="28"/>
          <w:szCs w:val="28"/>
        </w:rPr>
        <w:sym w:font="Symbol" w:char="F0AE"/>
      </w:r>
      <w:r w:rsidRPr="002F61FE">
        <w:rPr>
          <w:rFonts w:ascii="Times New Roman" w:hAnsi="Times New Roman" w:cs="Times New Roman"/>
          <w:sz w:val="28"/>
          <w:szCs w:val="28"/>
        </w:rPr>
        <w:t xml:space="preserve">                 2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2F61FE" w:rsidRPr="002F61FE" w:rsidRDefault="002F61FE" w:rsidP="002F61FE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>Получают глюкозу гидролизом крахмала.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lastRenderedPageBreak/>
        <w:t xml:space="preserve">К моносахаридам относится также фруктоза, ее формула такая же, как и у глюкозы - 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2F61F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61F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2F61FE">
        <w:rPr>
          <w:rFonts w:ascii="Times New Roman" w:hAnsi="Times New Roman" w:cs="Times New Roman"/>
          <w:sz w:val="28"/>
          <w:szCs w:val="28"/>
        </w:rPr>
        <w:t>, однако фруктоза – это кетоспирт. Графическая формула фруктозы: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66850" cy="2733675"/>
            <wp:effectExtent l="19050" t="0" r="0" b="0"/>
            <wp:docPr id="3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61FE">
        <w:rPr>
          <w:rFonts w:ascii="Times New Roman" w:hAnsi="Times New Roman" w:cs="Times New Roman"/>
          <w:sz w:val="28"/>
          <w:szCs w:val="28"/>
        </w:rPr>
        <w:br/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sz w:val="28"/>
          <w:szCs w:val="28"/>
        </w:rPr>
        <w:t>Фруктоза содержит пять гидроксогрупп и проявляет свойства спиртов, не дает реакции серебряного зеркала. Фруктоза также существует в открытой и цикличе</w:t>
      </w:r>
      <w:r w:rsidRPr="002F61FE">
        <w:rPr>
          <w:rFonts w:ascii="Times New Roman" w:hAnsi="Times New Roman" w:cs="Times New Roman"/>
          <w:sz w:val="28"/>
          <w:szCs w:val="28"/>
        </w:rPr>
        <w:softHyphen/>
        <w:t>ской формах:</w:t>
      </w:r>
    </w:p>
    <w:p w:rsidR="002F61FE" w:rsidRPr="002F61FE" w:rsidRDefault="002F61FE" w:rsidP="002F61FE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F61F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95650" cy="3885048"/>
            <wp:effectExtent l="19050" t="0" r="0" b="0"/>
            <wp:docPr id="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885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8E6" w:rsidRDefault="00A458E6"/>
    <w:p w:rsidR="00621EEF" w:rsidRDefault="00621EEF" w:rsidP="00621EE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tbl>
      <w:tblPr>
        <w:tblStyle w:val="a3"/>
        <w:tblW w:w="0" w:type="auto"/>
        <w:tblLayout w:type="fixed"/>
        <w:tblLook w:val="04A0"/>
      </w:tblPr>
      <w:tblGrid>
        <w:gridCol w:w="687"/>
        <w:gridCol w:w="7785"/>
        <w:gridCol w:w="1099"/>
      </w:tblGrid>
      <w:tr w:rsidR="00621EEF" w:rsidTr="00621EEF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rPr>
                <w:szCs w:val="28"/>
              </w:rPr>
            </w:pPr>
            <w:r>
              <w:rPr>
                <w:szCs w:val="28"/>
              </w:rPr>
              <w:t>№/№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rPr>
                <w:szCs w:val="28"/>
              </w:rPr>
            </w:pPr>
            <w:r>
              <w:rPr>
                <w:szCs w:val="28"/>
              </w:rPr>
              <w:t>Вопрос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rPr>
                <w:szCs w:val="28"/>
              </w:rPr>
            </w:pPr>
            <w:r>
              <w:rPr>
                <w:szCs w:val="28"/>
              </w:rPr>
              <w:t xml:space="preserve">Вывод </w:t>
            </w:r>
          </w:p>
        </w:tc>
      </w:tr>
      <w:tr w:rsidR="00621EEF" w:rsidTr="00621EEF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Определите эмпирическую формулу глюкозы</w:t>
            </w:r>
          </w:p>
          <w:p w:rsidR="00621EEF" w:rsidRDefault="00621EEF">
            <w:pPr>
              <w:spacing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Задача: « определите формулу одного из простейших углеводов – глюкозы, если вам известно результат анализа ее образца: М</w:t>
            </w:r>
            <w:r>
              <w:rPr>
                <w:sz w:val="40"/>
                <w:szCs w:val="40"/>
                <w:lang w:val="en-US"/>
              </w:rPr>
              <w:t>r</w:t>
            </w:r>
            <w:r>
              <w:rPr>
                <w:sz w:val="40"/>
                <w:szCs w:val="40"/>
              </w:rPr>
              <w:t xml:space="preserve"> =180г/моль, </w:t>
            </w:r>
            <w:r>
              <w:rPr>
                <w:sz w:val="40"/>
                <w:szCs w:val="40"/>
                <w:lang w:val="en-US"/>
              </w:rPr>
              <w:t>w</w:t>
            </w:r>
            <w:r>
              <w:rPr>
                <w:sz w:val="40"/>
                <w:szCs w:val="40"/>
              </w:rPr>
              <w:t xml:space="preserve">(С)=40%,  </w:t>
            </w:r>
            <w:r>
              <w:rPr>
                <w:sz w:val="40"/>
                <w:szCs w:val="40"/>
                <w:lang w:val="en-US"/>
              </w:rPr>
              <w:t>w</w:t>
            </w:r>
            <w:r>
              <w:rPr>
                <w:sz w:val="40"/>
                <w:szCs w:val="40"/>
              </w:rPr>
              <w:t xml:space="preserve">(Н)= 6,7%  </w:t>
            </w:r>
            <w:r>
              <w:rPr>
                <w:sz w:val="40"/>
                <w:szCs w:val="40"/>
                <w:lang w:val="en-US"/>
              </w:rPr>
              <w:t>w</w:t>
            </w:r>
            <w:r>
              <w:rPr>
                <w:sz w:val="40"/>
                <w:szCs w:val="40"/>
              </w:rPr>
              <w:t>(О)=53.3%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F" w:rsidRDefault="00621EEF">
            <w:pPr>
              <w:rPr>
                <w:szCs w:val="28"/>
              </w:rPr>
            </w:pPr>
          </w:p>
        </w:tc>
      </w:tr>
      <w:tr w:rsidR="00621EEF" w:rsidTr="00621EEF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spacing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Растворимость в воде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F" w:rsidRDefault="00621EEF">
            <w:pPr>
              <w:rPr>
                <w:szCs w:val="28"/>
              </w:rPr>
            </w:pPr>
          </w:p>
        </w:tc>
      </w:tr>
      <w:tr w:rsidR="00621EEF" w:rsidTr="00621EEF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Является ли глюкоза многоатомным спиртом ( наличие  гидроксильных групп)?</w:t>
            </w:r>
          </w:p>
          <w:p w:rsidR="00621EEF" w:rsidRDefault="00621E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 проведи качественную реакцию на многоатомные спирты,</w:t>
            </w:r>
          </w:p>
          <w:p w:rsidR="00621EEF" w:rsidRDefault="00621E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 посмотрите демонстрационный фильм,</w:t>
            </w:r>
          </w:p>
          <w:p w:rsidR="00621EEF" w:rsidRDefault="00621EE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Демонстрации опытов ( для составления презентации)-</w:t>
            </w:r>
          </w:p>
          <w:p w:rsidR="00621EEF" w:rsidRDefault="00621EE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</w:t>
            </w:r>
            <w:hyperlink r:id="rId14" w:history="1">
              <w:r>
                <w:rPr>
                  <w:rStyle w:val="a4"/>
                  <w:sz w:val="40"/>
                  <w:szCs w:val="40"/>
                </w:rPr>
                <w:t>http://www.youtube.com/watch?v=eSlyhRXBJ5E</w:t>
              </w:r>
            </w:hyperlink>
          </w:p>
          <w:p w:rsidR="00621EEF" w:rsidRDefault="00621EE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</w:t>
            </w:r>
            <w:hyperlink r:id="rId15" w:history="1">
              <w:r>
                <w:rPr>
                  <w:rStyle w:val="a4"/>
                  <w:sz w:val="40"/>
                  <w:szCs w:val="40"/>
                </w:rPr>
                <w:t>http://intellect-video.com/8356/SHkolnyy-khimicheskiy-eksperiment-online/</w:t>
              </w:r>
            </w:hyperlink>
            <w:r>
              <w:rPr>
                <w:sz w:val="40"/>
                <w:szCs w:val="40"/>
              </w:rPr>
              <w:t xml:space="preserve"> -</w:t>
            </w:r>
          </w:p>
          <w:p w:rsidR="00621EEF" w:rsidRDefault="00621E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 используйте теоретический материал,</w:t>
            </w:r>
          </w:p>
          <w:p w:rsidR="00621EEF" w:rsidRDefault="00621EEF">
            <w:pPr>
              <w:spacing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 сделайте вывод по исследованию,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F" w:rsidRDefault="00621EEF">
            <w:pPr>
              <w:rPr>
                <w:szCs w:val="28"/>
              </w:rPr>
            </w:pPr>
          </w:p>
        </w:tc>
      </w:tr>
      <w:tr w:rsidR="00621EEF" w:rsidTr="00621EEF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Является ли глюкоза альдегидом, ( наличие карбонильной группы)?</w:t>
            </w:r>
          </w:p>
          <w:p w:rsidR="00621EEF" w:rsidRDefault="00621E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 проведи качественную реакцию альдегид,</w:t>
            </w:r>
          </w:p>
          <w:p w:rsidR="00621EEF" w:rsidRDefault="00621E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 посмотрите демонстрационный фильм,</w:t>
            </w:r>
          </w:p>
          <w:p w:rsidR="00621EEF" w:rsidRDefault="00621EE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Демонстрации опытов ( для составления презентации)-</w:t>
            </w:r>
          </w:p>
          <w:p w:rsidR="00621EEF" w:rsidRDefault="00621EE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1.</w:t>
            </w:r>
            <w:hyperlink r:id="rId16" w:history="1">
              <w:r>
                <w:rPr>
                  <w:rStyle w:val="a4"/>
                  <w:sz w:val="40"/>
                  <w:szCs w:val="40"/>
                </w:rPr>
                <w:t>http://intellect-video.com/8356/SHkolnyy-khimicheskiy-eksperiment-online/</w:t>
              </w:r>
            </w:hyperlink>
            <w:r>
              <w:rPr>
                <w:sz w:val="40"/>
                <w:szCs w:val="40"/>
              </w:rPr>
              <w:t xml:space="preserve"> </w:t>
            </w:r>
          </w:p>
          <w:p w:rsidR="00621EEF" w:rsidRDefault="00621EE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</w:t>
            </w:r>
            <w:hyperlink r:id="rId17" w:history="1">
              <w:r>
                <w:rPr>
                  <w:rStyle w:val="a4"/>
                  <w:sz w:val="40"/>
                  <w:szCs w:val="40"/>
                </w:rPr>
                <w:t>http://www.youtube.com/watch?v=eSlyhRXBJ5E</w:t>
              </w:r>
            </w:hyperlink>
          </w:p>
          <w:p w:rsidR="00621EEF" w:rsidRDefault="00621E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 используйте теоретический материал,</w:t>
            </w:r>
          </w:p>
          <w:p w:rsidR="00621EEF" w:rsidRDefault="00621EEF">
            <w:pPr>
              <w:spacing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 сделайте вывод по исследованию,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F" w:rsidRDefault="00621EEF">
            <w:pPr>
              <w:rPr>
                <w:szCs w:val="28"/>
              </w:rPr>
            </w:pPr>
          </w:p>
        </w:tc>
      </w:tr>
      <w:tr w:rsidR="00621EEF" w:rsidTr="00621EEF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Предположите структурную формулу глюкозы, используя все имеющиеся источники:</w:t>
            </w:r>
          </w:p>
          <w:p w:rsidR="00621EEF" w:rsidRDefault="00621EE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Теоретический материал учебника, электронный ресурс:</w:t>
            </w:r>
          </w:p>
          <w:p w:rsidR="00621EEF" w:rsidRDefault="00621EE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Строение глюкозы, переход в циклическую форму </w:t>
            </w:r>
            <w:hyperlink r:id="rId18" w:history="1">
              <w:r>
                <w:rPr>
                  <w:rStyle w:val="a4"/>
                  <w:sz w:val="40"/>
                  <w:szCs w:val="40"/>
                </w:rPr>
                <w:t>http://ru.wikipedia.org/wiki/%C3%EB%FE%EA%EE%E7%E0</w:t>
              </w:r>
            </w:hyperlink>
          </w:p>
          <w:p w:rsidR="00621EEF" w:rsidRDefault="00621EE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Конструирование моделей молекул углеводов- </w:t>
            </w:r>
          </w:p>
          <w:p w:rsidR="00621EEF" w:rsidRDefault="00F16F7A">
            <w:pPr>
              <w:jc w:val="both"/>
              <w:rPr>
                <w:sz w:val="40"/>
                <w:szCs w:val="40"/>
              </w:rPr>
            </w:pPr>
            <w:hyperlink r:id="rId19" w:history="1">
              <w:r w:rsidR="00621EEF">
                <w:rPr>
                  <w:rStyle w:val="a4"/>
                  <w:sz w:val="40"/>
                  <w:szCs w:val="40"/>
                </w:rPr>
                <w:t>http://fcior.edu.ru/card/14394/laboratornaya-rabota-konstruirovanie-modeley-molekul-monosaharidov.html</w:t>
              </w:r>
            </w:hyperlink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F" w:rsidRDefault="00621EEF">
            <w:pPr>
              <w:rPr>
                <w:szCs w:val="28"/>
              </w:rPr>
            </w:pPr>
          </w:p>
        </w:tc>
      </w:tr>
      <w:tr w:rsidR="00621EEF" w:rsidTr="00621EEF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spacing w:line="27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Изучите области применения глюкозы . используя материал учебника: §14, с.107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F" w:rsidRDefault="00621EEF">
            <w:pPr>
              <w:rPr>
                <w:szCs w:val="28"/>
              </w:rPr>
            </w:pPr>
          </w:p>
        </w:tc>
      </w:tr>
      <w:tr w:rsidR="00621EEF" w:rsidTr="00621EEF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rPr>
                <w:szCs w:val="28"/>
              </w:rPr>
            </w:pPr>
            <w:r>
              <w:rPr>
                <w:szCs w:val="28"/>
              </w:rPr>
              <w:t xml:space="preserve">7 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EF" w:rsidRDefault="00621EE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Какие химические свойства характерны для глюкозы, проанализируйте материал имеющихся у вас источников.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F" w:rsidRDefault="00621EEF">
            <w:pPr>
              <w:rPr>
                <w:szCs w:val="28"/>
              </w:rPr>
            </w:pPr>
          </w:p>
        </w:tc>
      </w:tr>
    </w:tbl>
    <w:p w:rsidR="00621EEF" w:rsidRDefault="00621EEF" w:rsidP="00621EEF">
      <w:pPr>
        <w:spacing w:line="360" w:lineRule="auto"/>
        <w:rPr>
          <w:b/>
          <w:szCs w:val="28"/>
        </w:rPr>
      </w:pPr>
    </w:p>
    <w:p w:rsidR="00621EEF" w:rsidRDefault="00621EEF"/>
    <w:p w:rsidR="00B217A2" w:rsidRDefault="00B217A2"/>
    <w:p w:rsidR="00B217A2" w:rsidRDefault="00B217A2"/>
    <w:p w:rsidR="00B217A2" w:rsidRDefault="00B217A2"/>
    <w:p w:rsidR="00B217A2" w:rsidRPr="00B217A2" w:rsidRDefault="00B217A2" w:rsidP="00B217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7A2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B217A2" w:rsidRPr="00B217A2" w:rsidRDefault="00B217A2" w:rsidP="00B217A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17A2">
        <w:rPr>
          <w:rFonts w:ascii="Times New Roman" w:hAnsi="Times New Roman" w:cs="Times New Roman"/>
          <w:sz w:val="28"/>
          <w:szCs w:val="28"/>
        </w:rPr>
        <w:t>Асмолов А.Г., Бурменская Г.В., ВолодарскаяИ.А., Карабанова О.А., Салмина Н.Г., Молчан С.В.</w:t>
      </w:r>
      <w:r w:rsidRPr="00B217A2">
        <w:rPr>
          <w:rStyle w:val="aa"/>
          <w:rFonts w:ascii="Times New Roman" w:hAnsi="Times New Roman" w:cs="Times New Roman"/>
          <w:sz w:val="28"/>
          <w:szCs w:val="28"/>
        </w:rPr>
        <w:t xml:space="preserve">  </w:t>
      </w:r>
      <w:r w:rsidRPr="00B217A2">
        <w:rPr>
          <w:rStyle w:val="2"/>
          <w:rFonts w:eastAsia="Calibri"/>
          <w:sz w:val="28"/>
          <w:szCs w:val="28"/>
        </w:rPr>
        <w:t>Формирование</w:t>
      </w:r>
      <w:r w:rsidRPr="00B217A2">
        <w:rPr>
          <w:rFonts w:ascii="Times New Roman" w:eastAsia="Calibri" w:hAnsi="Times New Roman" w:cs="Times New Roman"/>
          <w:sz w:val="28"/>
          <w:szCs w:val="28"/>
        </w:rPr>
        <w:t xml:space="preserve"> универсальных учебных действий в</w:t>
      </w:r>
      <w:r w:rsidRPr="00B217A2">
        <w:rPr>
          <w:rFonts w:ascii="Times New Roman" w:hAnsi="Times New Roman" w:cs="Times New Roman"/>
          <w:sz w:val="28"/>
          <w:szCs w:val="28"/>
        </w:rPr>
        <w:t xml:space="preserve"> основной школе: </w:t>
      </w:r>
      <w:r w:rsidRPr="00B217A2">
        <w:rPr>
          <w:rFonts w:ascii="Times New Roman" w:eastAsia="Calibri" w:hAnsi="Times New Roman" w:cs="Times New Roman"/>
          <w:sz w:val="28"/>
          <w:szCs w:val="28"/>
        </w:rPr>
        <w:t>от действия к мысли. Система зада</w:t>
      </w:r>
      <w:r w:rsidRPr="00B217A2">
        <w:rPr>
          <w:rFonts w:ascii="Times New Roman" w:eastAsia="Calibri" w:hAnsi="Times New Roman" w:cs="Times New Roman"/>
          <w:sz w:val="28"/>
          <w:szCs w:val="28"/>
        </w:rPr>
        <w:softHyphen/>
        <w:t xml:space="preserve">ний : пособие </w:t>
      </w:r>
      <w:r w:rsidRPr="00B217A2">
        <w:rPr>
          <w:rFonts w:ascii="Times New Roman" w:hAnsi="Times New Roman" w:cs="Times New Roman"/>
          <w:sz w:val="28"/>
          <w:szCs w:val="28"/>
        </w:rPr>
        <w:t>для учителя/ (</w:t>
      </w:r>
      <w:r w:rsidRPr="00B217A2">
        <w:rPr>
          <w:rFonts w:ascii="Times New Roman" w:eastAsia="Calibri" w:hAnsi="Times New Roman" w:cs="Times New Roman"/>
          <w:sz w:val="28"/>
          <w:szCs w:val="28"/>
        </w:rPr>
        <w:t>А. Г. Асмолов, Г. В. Бурме</w:t>
      </w:r>
      <w:r w:rsidRPr="00B217A2">
        <w:rPr>
          <w:rFonts w:ascii="Times New Roman" w:hAnsi="Times New Roman" w:cs="Times New Roman"/>
          <w:sz w:val="28"/>
          <w:szCs w:val="28"/>
        </w:rPr>
        <w:t>н</w:t>
      </w:r>
      <w:r w:rsidRPr="00B217A2">
        <w:rPr>
          <w:rFonts w:ascii="Times New Roman" w:hAnsi="Times New Roman" w:cs="Times New Roman"/>
          <w:sz w:val="28"/>
          <w:szCs w:val="28"/>
        </w:rPr>
        <w:softHyphen/>
        <w:t>ская, И. А. Володарская и др.) ; под ред. А. Г. Асмоло</w:t>
      </w:r>
      <w:r w:rsidRPr="00B217A2">
        <w:rPr>
          <w:rFonts w:ascii="Times New Roman" w:eastAsia="Calibri" w:hAnsi="Times New Roman" w:cs="Times New Roman"/>
          <w:sz w:val="28"/>
          <w:szCs w:val="28"/>
        </w:rPr>
        <w:t xml:space="preserve">ва. — 2-е изд. — М. : Просвещение, 2011. — 159 с. : ил. — </w:t>
      </w:r>
      <w:r w:rsidRPr="00B217A2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B217A2">
        <w:rPr>
          <w:rFonts w:ascii="Times New Roman" w:eastAsia="Calibri" w:hAnsi="Times New Roman" w:cs="Times New Roman"/>
          <w:sz w:val="28"/>
          <w:szCs w:val="28"/>
        </w:rPr>
        <w:t xml:space="preserve"> 978-5-09-024005-5.</w:t>
      </w:r>
    </w:p>
    <w:p w:rsidR="00B217A2" w:rsidRPr="00B217A2" w:rsidRDefault="00B217A2" w:rsidP="00B217A2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eastAsia="Times New Roman"/>
          <w:szCs w:val="28"/>
          <w:lang w:eastAsia="ru-RU"/>
        </w:rPr>
      </w:pPr>
      <w:r w:rsidRPr="00B217A2">
        <w:rPr>
          <w:rFonts w:eastAsia="Times New Roman"/>
          <w:szCs w:val="28"/>
          <w:lang w:eastAsia="ru-RU"/>
        </w:rPr>
        <w:t>Гаркунов В.П. Проблемность в обучении химии// Химия в школе.- 1971.-№4</w:t>
      </w:r>
    </w:p>
    <w:p w:rsidR="00B217A2" w:rsidRPr="00B217A2" w:rsidRDefault="00B217A2" w:rsidP="00B217A2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eastAsia="Times New Roman"/>
          <w:szCs w:val="28"/>
          <w:lang w:eastAsia="ru-RU"/>
        </w:rPr>
      </w:pPr>
      <w:r w:rsidRPr="00B217A2">
        <w:rPr>
          <w:rFonts w:eastAsia="Times New Roman"/>
          <w:szCs w:val="28"/>
          <w:lang w:eastAsia="ru-RU"/>
        </w:rPr>
        <w:t>Ганиченко Л.Г., Мочалов Ю.Е. Использование элементов проблемного обучения при проведении уроков-лекций//Химия в школе.-1990.-№5</w:t>
      </w:r>
    </w:p>
    <w:p w:rsidR="00B217A2" w:rsidRPr="00B217A2" w:rsidRDefault="00B217A2" w:rsidP="00B217A2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eastAsia="Times New Roman"/>
          <w:szCs w:val="28"/>
          <w:lang w:eastAsia="ru-RU"/>
        </w:rPr>
      </w:pPr>
      <w:r w:rsidRPr="00B217A2">
        <w:rPr>
          <w:rFonts w:eastAsia="Calibri"/>
          <w:szCs w:val="28"/>
        </w:rPr>
        <w:t xml:space="preserve">Дендебер С.В. </w:t>
      </w:r>
      <w:r w:rsidRPr="00B217A2">
        <w:rPr>
          <w:szCs w:val="28"/>
        </w:rPr>
        <w:t xml:space="preserve">Ключникова О.В. </w:t>
      </w:r>
      <w:r w:rsidRPr="00B217A2">
        <w:rPr>
          <w:rFonts w:eastAsia="Calibri"/>
          <w:szCs w:val="28"/>
        </w:rPr>
        <w:t>Современные технологии в процессе обучения. : методическое пособие / С.В. Дендебер, О.В.Ключникова.-</w:t>
      </w:r>
      <w:r w:rsidRPr="00B217A2">
        <w:rPr>
          <w:szCs w:val="28"/>
        </w:rPr>
        <w:t xml:space="preserve"> </w:t>
      </w:r>
      <w:r w:rsidRPr="00B217A2">
        <w:rPr>
          <w:rFonts w:eastAsia="Calibri"/>
          <w:szCs w:val="28"/>
        </w:rPr>
        <w:t>М.: 5 за знания,2007.- 112с</w:t>
      </w:r>
    </w:p>
    <w:p w:rsidR="00B217A2" w:rsidRPr="00B217A2" w:rsidRDefault="00B217A2" w:rsidP="00B217A2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eastAsia="Times New Roman"/>
          <w:szCs w:val="28"/>
          <w:lang w:eastAsia="ru-RU"/>
        </w:rPr>
      </w:pPr>
      <w:r w:rsidRPr="00B217A2">
        <w:rPr>
          <w:rFonts w:eastAsia="Times New Roman"/>
          <w:szCs w:val="28"/>
          <w:lang w:eastAsia="ru-RU"/>
        </w:rPr>
        <w:t>Кулагина И.Ю., Колюцкий В.Н. Возрастная психология: Полный жизненный цикл развития человека. Учебное пособие для студентов высших учебных заведений. - М.: ТЦ Сфера,2005.-464с.</w:t>
      </w:r>
    </w:p>
    <w:p w:rsidR="00B217A2" w:rsidRPr="00B217A2" w:rsidRDefault="00B217A2" w:rsidP="00B217A2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eastAsia="Times New Roman"/>
          <w:szCs w:val="28"/>
          <w:lang w:eastAsia="ru-RU"/>
        </w:rPr>
      </w:pPr>
      <w:r w:rsidRPr="00B217A2">
        <w:rPr>
          <w:rFonts w:eastAsia="Times New Roman"/>
          <w:szCs w:val="28"/>
          <w:lang w:eastAsia="ru-RU"/>
        </w:rPr>
        <w:t>Немов Р.С.  Психология: учебник для студентов высших педагогических заведений: в 3 книгах-4-еиздание-М.: гуманитарное издательство ВЛАДАС,2002.-книга 2: Психология образования.-608с.</w:t>
      </w:r>
    </w:p>
    <w:p w:rsidR="00B217A2" w:rsidRPr="00B217A2" w:rsidRDefault="00B217A2" w:rsidP="00B217A2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eastAsia="Times New Roman"/>
          <w:szCs w:val="28"/>
          <w:lang w:eastAsia="ru-RU"/>
        </w:rPr>
      </w:pPr>
      <w:r w:rsidRPr="00B217A2">
        <w:rPr>
          <w:szCs w:val="28"/>
        </w:rPr>
        <w:t>Поташник М.М. Требования к современному уроку. Методическое пособие. -М. : Центр педагогического образования, 2013.-272с.</w:t>
      </w:r>
    </w:p>
    <w:p w:rsidR="00B217A2" w:rsidRPr="00B217A2" w:rsidRDefault="00B217A2" w:rsidP="00B217A2">
      <w:pPr>
        <w:pStyle w:val="ab"/>
        <w:numPr>
          <w:ilvl w:val="0"/>
          <w:numId w:val="2"/>
        </w:numPr>
        <w:spacing w:after="0" w:line="360" w:lineRule="auto"/>
        <w:ind w:left="0"/>
        <w:jc w:val="both"/>
        <w:rPr>
          <w:rFonts w:eastAsia="Times New Roman"/>
          <w:szCs w:val="28"/>
          <w:lang w:eastAsia="ru-RU"/>
        </w:rPr>
      </w:pPr>
      <w:r w:rsidRPr="00B217A2">
        <w:rPr>
          <w:rFonts w:eastAsia="Times New Roman"/>
          <w:szCs w:val="28"/>
          <w:lang w:eastAsia="ru-RU"/>
        </w:rPr>
        <w:t>Примерные программы по учебным предметам. Химия. 10-11 классы: проект - 2-е издание - М.: Просвещение,2011.- 88с. -  (Стандарт второго поколения).</w:t>
      </w:r>
    </w:p>
    <w:p w:rsidR="00B217A2" w:rsidRPr="00B217A2" w:rsidRDefault="00B217A2" w:rsidP="00B217A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7A2">
        <w:rPr>
          <w:rFonts w:ascii="Times New Roman" w:eastAsia="Times New Roman" w:hAnsi="Times New Roman" w:cs="Times New Roman"/>
          <w:sz w:val="28"/>
          <w:szCs w:val="28"/>
        </w:rPr>
        <w:t>Чернобай Е.В. Технология подготовки урока в современной информационной образовательной среде: пособие для учителей общеобразовательных организаций / Е.В. Чернобай.-3-е издание-М.: просвещение,2014.-56с.</w:t>
      </w:r>
      <w:r w:rsidRPr="00B217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17A2" w:rsidRPr="00B217A2" w:rsidRDefault="00B217A2" w:rsidP="00B217A2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217A2" w:rsidRPr="00B217A2" w:rsidRDefault="00B217A2">
      <w:pPr>
        <w:rPr>
          <w:rFonts w:ascii="Times New Roman" w:hAnsi="Times New Roman" w:cs="Times New Roman"/>
          <w:sz w:val="28"/>
          <w:szCs w:val="28"/>
        </w:rPr>
      </w:pPr>
    </w:p>
    <w:sectPr w:rsidR="00B217A2" w:rsidRPr="00B217A2" w:rsidSect="000D3F4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BF7" w:rsidRDefault="00622BF7" w:rsidP="00621EEF">
      <w:pPr>
        <w:spacing w:after="0" w:line="240" w:lineRule="auto"/>
      </w:pPr>
      <w:r>
        <w:separator/>
      </w:r>
    </w:p>
  </w:endnote>
  <w:endnote w:type="continuationSeparator" w:id="1">
    <w:p w:rsidR="00622BF7" w:rsidRDefault="00622BF7" w:rsidP="0062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EF" w:rsidRDefault="00621EE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1242"/>
      <w:docPartObj>
        <w:docPartGallery w:val="Page Numbers (Bottom of Page)"/>
        <w:docPartUnique/>
      </w:docPartObj>
    </w:sdtPr>
    <w:sdtContent>
      <w:p w:rsidR="00621EEF" w:rsidRDefault="00F16F7A">
        <w:pPr>
          <w:pStyle w:val="a9"/>
          <w:jc w:val="center"/>
        </w:pPr>
        <w:fldSimple w:instr=" PAGE   \* MERGEFORMAT ">
          <w:r w:rsidR="00B217A2">
            <w:rPr>
              <w:noProof/>
            </w:rPr>
            <w:t>5</w:t>
          </w:r>
        </w:fldSimple>
      </w:p>
    </w:sdtContent>
  </w:sdt>
  <w:p w:rsidR="00621EEF" w:rsidRDefault="00621EE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EF" w:rsidRDefault="00621E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BF7" w:rsidRDefault="00622BF7" w:rsidP="00621EEF">
      <w:pPr>
        <w:spacing w:after="0" w:line="240" w:lineRule="auto"/>
      </w:pPr>
      <w:r>
        <w:separator/>
      </w:r>
    </w:p>
  </w:footnote>
  <w:footnote w:type="continuationSeparator" w:id="1">
    <w:p w:rsidR="00622BF7" w:rsidRDefault="00622BF7" w:rsidP="0062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EF" w:rsidRDefault="00621E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EF" w:rsidRDefault="00621EE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EF" w:rsidRDefault="00621E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521B"/>
    <w:multiLevelType w:val="hybridMultilevel"/>
    <w:tmpl w:val="56BCBC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30D7D"/>
    <w:multiLevelType w:val="hybridMultilevel"/>
    <w:tmpl w:val="7F4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61FE"/>
    <w:rsid w:val="000D3F4E"/>
    <w:rsid w:val="002B019D"/>
    <w:rsid w:val="002F61FE"/>
    <w:rsid w:val="00621EEF"/>
    <w:rsid w:val="00622BF7"/>
    <w:rsid w:val="00646D32"/>
    <w:rsid w:val="007B6DA9"/>
    <w:rsid w:val="00A458E6"/>
    <w:rsid w:val="00B217A2"/>
    <w:rsid w:val="00EB55CA"/>
    <w:rsid w:val="00F16F7A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4E"/>
  </w:style>
  <w:style w:type="paragraph" w:styleId="1">
    <w:name w:val="heading 1"/>
    <w:basedOn w:val="a"/>
    <w:next w:val="a"/>
    <w:link w:val="10"/>
    <w:uiPriority w:val="99"/>
    <w:qFormat/>
    <w:rsid w:val="002F61FE"/>
    <w:pPr>
      <w:keepNext/>
      <w:spacing w:after="0" w:line="240" w:lineRule="auto"/>
      <w:ind w:left="180" w:right="-725" w:firstLine="3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1F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2F61FE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61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1F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21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EEF"/>
  </w:style>
  <w:style w:type="paragraph" w:styleId="a9">
    <w:name w:val="footer"/>
    <w:basedOn w:val="a"/>
    <w:link w:val="aa"/>
    <w:uiPriority w:val="99"/>
    <w:unhideWhenUsed/>
    <w:rsid w:val="00621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1EEF"/>
  </w:style>
  <w:style w:type="paragraph" w:styleId="ab">
    <w:name w:val="List Paragraph"/>
    <w:basedOn w:val="a"/>
    <w:uiPriority w:val="34"/>
    <w:qFormat/>
    <w:rsid w:val="00B217A2"/>
    <w:pPr>
      <w:ind w:left="720"/>
      <w:contextualSpacing/>
    </w:pPr>
    <w:rPr>
      <w:rFonts w:ascii="Times New Roman" w:eastAsiaTheme="minorHAnsi" w:hAnsi="Times New Roman" w:cs="Times New Roman"/>
      <w:sz w:val="28"/>
      <w:lang w:eastAsia="en-US"/>
    </w:rPr>
  </w:style>
  <w:style w:type="character" w:customStyle="1" w:styleId="2">
    <w:name w:val="Основной текст (2) + Полужирный"/>
    <w:aliases w:val="Интервал 0 pt"/>
    <w:basedOn w:val="a0"/>
    <w:rsid w:val="00B217A2"/>
    <w:rPr>
      <w:rFonts w:ascii="Times New Roman" w:eastAsia="Times New Roman" w:hAnsi="Times New Roman" w:cs="Times New Roman" w:hint="default"/>
      <w:b/>
      <w:bCs/>
      <w:spacing w:val="-10"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ru.wikipedia.org/wiki/%C3%EB%FE%EA%EE%E7%E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youtube.com/watch?v=eSlyhRXBJ5E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ntellect-video.com/8356/SHkolnyy-khimicheskiy-eksperiment-online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ntellect-video.com/8356/SHkolnyy-khimicheskiy-eksperiment-online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hyperlink" Target="http://fcior.edu.ru/card/14394/laboratornaya-rabota-konstruirovanie-modeley-molekul-monosaharidov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youtube.com/watch?v=eSlyhRXBJ5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797</Words>
  <Characters>4549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2014-11-27T13:02:00Z</cp:lastPrinted>
  <dcterms:created xsi:type="dcterms:W3CDTF">2014-03-30T12:16:00Z</dcterms:created>
  <dcterms:modified xsi:type="dcterms:W3CDTF">2014-11-27T13:03:00Z</dcterms:modified>
</cp:coreProperties>
</file>