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1D" w:rsidRPr="00B74E48" w:rsidRDefault="00EF361D" w:rsidP="00EF361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>Приложение 2.</w:t>
      </w:r>
    </w:p>
    <w:p w:rsidR="00EF361D" w:rsidRPr="00B74E48" w:rsidRDefault="00EF361D" w:rsidP="00EF361D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u w:val="single"/>
          <w:lang w:val="ru-RU"/>
        </w:rPr>
        <w:t>Документ 1.</w:t>
      </w: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«…В X в. конфессиональные различия имели большее значение, чем этнические, потому что определяли принадлежность к тому или другому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суперэтносу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. А внутри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суперэтноса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всегда можно было договориться.</w:t>
      </w: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Вот поэтому столь большое значение имел тогда выбор исповедания, но было бы неверно думать, что этот выбор определялся только политическими или экономическими расчетами. Нет, 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принудить людей принять религию врага было</w:t>
      </w:r>
      <w:proofErr w:type="gram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невозможно, так же как удержаться от усвоения веры друга. Иными словами, в принятии новой веры решающую роль играл принцип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комплиментарности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, стоящий на порядок выше сознательных решений князей и королей. 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Тот выбор, который на организменном (персональном) уровне является свободным, на популяционном (этническом) детерминирован характером психического склада, традициями, памятью об исторических событиях недавнего прошлого и уровнем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пассионарного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напряжения системы, а последнее зависит от фазы этногенеза или этнического возраста.</w:t>
      </w:r>
      <w:proofErr w:type="gramEnd"/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А коль скоро так, то вопрос о крещении Руси в 986–989 гг.   …. может быть разрешен только путем широкого сопоставления характеристик четырех мировых религий: православия, католичества, иудаизма и ислама... Во второй половине X 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Западной Евразии шла борьба не за земли, не за богатства, не за политическую власть, а за души славян и тюрок. И результат этой борьбы определил судьбу народов Восточной Европы и Великой степи на полтысячелетия вперед…»</w:t>
      </w:r>
    </w:p>
    <w:p w:rsidR="00EF361D" w:rsidRPr="00B74E48" w:rsidRDefault="00EF361D" w:rsidP="00EF361D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4E48">
        <w:rPr>
          <w:rFonts w:ascii="Times New Roman" w:hAnsi="Times New Roman" w:cs="Times New Roman"/>
          <w:i/>
          <w:sz w:val="24"/>
          <w:szCs w:val="24"/>
        </w:rPr>
        <w:t>(Гумилев Л.Н. Древняя Русь и Великая степь.)</w:t>
      </w:r>
    </w:p>
    <w:p w:rsidR="00EF361D" w:rsidRPr="00B74E48" w:rsidRDefault="00EF361D" w:rsidP="00EF361D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F361D" w:rsidRPr="00B74E48" w:rsidRDefault="00EF361D" w:rsidP="00EF36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u w:val="single"/>
          <w:lang w:val="ru-RU"/>
        </w:rPr>
        <w:t>Документ 2.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Н.П. Строков. «Цивилизационные альтернативы в истории России».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Методич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>. рекомендации к таблицам по истории. - М.:ЗАО «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Интерсигнал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СП». С.4-8.</w:t>
      </w: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u w:val="single"/>
          <w:lang w:val="ru-RU"/>
        </w:rPr>
        <w:t>Документ 3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Однако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цивилизационный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выбор Руси осуществлялся не в одночасье. Она на пути к мировым цивилизациям прошла ряд этапов:</w:t>
      </w: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> 1. Время правления Владимира Святославовича (980-1015), когда в ходе христианизации Руси на уровне решения </w:t>
      </w:r>
      <w:r w:rsidRPr="00B74E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только первого лица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 был задан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провизантийский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вектор ее развития.</w:t>
      </w: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>2.  Время правления Святополка </w:t>
      </w:r>
      <w:r w:rsidRPr="00B74E48">
        <w:rPr>
          <w:rFonts w:ascii="Times New Roman" w:hAnsi="Times New Roman" w:cs="Times New Roman"/>
          <w:sz w:val="24"/>
          <w:szCs w:val="24"/>
        </w:rPr>
        <w:t>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> (1015-1019), которые в борьбе за власть обратился за помощью к полякам, и впервые на Руси стола проникать западное влияние из Польши.</w:t>
      </w: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3. Время правления Ярослава Мудрого (1019-1054), при котором осуществлялся баланс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прозападнической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провизантийской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линий развития Руси. Ярослав был женат на дочери шведского короля. Выдал замуж своих дочерей и женил 5 из 6 своих сыновей на представителях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зап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правящих домов, что содействовало проникновению влияния запада на Русь. С другой стороны, при Ярославе в Киеве и Новгороде были возведены Софийские соборы, а повторное посвящение храма в честь богини мудрости подчеркивало едино верность Руси православной Руси православной Византии. Более того, при дворе Ярослава мирно уживались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прозападническая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партия, возглавляемая его старшим сыном Изяславом (1054 - 1078), и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провизантийская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партия, возглавляемая его младшим сыном Всеволодом (1078 - 1093). </w:t>
      </w:r>
    </w:p>
    <w:p w:rsidR="00EF361D" w:rsidRPr="00B74E48" w:rsidRDefault="00EF361D" w:rsidP="00EF361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B74E48">
        <w:rPr>
          <w:rFonts w:ascii="Times New Roman" w:hAnsi="Times New Roman" w:cs="Times New Roman"/>
          <w:sz w:val="24"/>
          <w:szCs w:val="24"/>
        </w:rPr>
        <w:t>  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Время правления Святополка </w:t>
      </w:r>
      <w:r w:rsidRPr="00B74E48">
        <w:rPr>
          <w:rFonts w:ascii="Times New Roman" w:hAnsi="Times New Roman" w:cs="Times New Roman"/>
          <w:sz w:val="24"/>
          <w:szCs w:val="24"/>
        </w:rPr>
        <w:t>II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(1093-1113 гг.). Это время торжества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провизантийской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ли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нии, когда на Руси к жизни были вызваны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децентрализаторские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тенденции.</w:t>
      </w:r>
    </w:p>
    <w:p w:rsidR="00EF361D" w:rsidRPr="00B74E48" w:rsidRDefault="00EF361D" w:rsidP="00EF36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>Время правления Владимира Мономаха (1113-1125 гг.), при котором было созвано общерус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softHyphen/>
        <w:t>ское вече, где соборно была подтверждена приверженность Руси православной церкви, как рав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softHyphen/>
        <w:t>новеликой и единоверной державе.</w:t>
      </w:r>
    </w:p>
    <w:p w:rsidR="00EF361D" w:rsidRPr="00B74E48" w:rsidRDefault="00EF361D" w:rsidP="00EF361D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   Таким образом, в результате окончательного выбора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провизантийской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линии развития был обеспечен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цивилизационный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взлет Руси во второй половине X - начале XII веков.</w:t>
      </w:r>
    </w:p>
    <w:p w:rsidR="00EF361D" w:rsidRPr="00B74E48" w:rsidRDefault="00EF361D" w:rsidP="00EF361D">
      <w:pPr>
        <w:widowControl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>(</w:t>
      </w:r>
      <w:hyperlink r:id="rId5" w:history="1">
        <w:r w:rsidRPr="00B74E48">
          <w:rPr>
            <w:rFonts w:ascii="Times New Roman" w:hAnsi="Times New Roman" w:cs="Times New Roman"/>
            <w:i/>
            <w:sz w:val="24"/>
            <w:szCs w:val="24"/>
            <w:lang w:val="ru-RU"/>
          </w:rPr>
          <w:t>История России (Лебедев В.Э.)</w:t>
        </w:r>
      </w:hyperlink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EF361D" w:rsidRPr="00B74E48" w:rsidRDefault="00EF361D" w:rsidP="00EF361D">
      <w:pPr>
        <w:widowControl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F361D" w:rsidRPr="00B74E48" w:rsidRDefault="00EF361D" w:rsidP="00EF361D">
      <w:pPr>
        <w:widowControl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EF361D" w:rsidRPr="00B74E48" w:rsidRDefault="00EF361D" w:rsidP="00EF36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>Как вы поняли выражение Л. Гумилева... «Во второй половине X </w:t>
      </w:r>
      <w:proofErr w:type="gramStart"/>
      <w:r w:rsidRPr="00B74E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74E4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B74E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74E48">
        <w:rPr>
          <w:rFonts w:ascii="Times New Roman" w:hAnsi="Times New Roman" w:cs="Times New Roman"/>
          <w:b/>
          <w:sz w:val="24"/>
          <w:szCs w:val="24"/>
        </w:rPr>
        <w:t xml:space="preserve"> Западной Евразии шла борьба не за земли, не за богатства, не за политическую власть, а за души славян и тюрок. И результат этой борьбы определил судьбу народов Восточной </w:t>
      </w:r>
      <w:r w:rsidRPr="00B74E48">
        <w:rPr>
          <w:rFonts w:ascii="Times New Roman" w:hAnsi="Times New Roman" w:cs="Times New Roman"/>
          <w:b/>
          <w:sz w:val="24"/>
          <w:szCs w:val="24"/>
        </w:rPr>
        <w:lastRenderedPageBreak/>
        <w:t>Европы и Великой степи на полтысячелетия вперед…»</w:t>
      </w:r>
      <w:proofErr w:type="gramStart"/>
      <w:r w:rsidRPr="00B74E4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B74E48">
        <w:rPr>
          <w:rFonts w:ascii="Times New Roman" w:hAnsi="Times New Roman" w:cs="Times New Roman"/>
          <w:b/>
          <w:sz w:val="24"/>
          <w:szCs w:val="24"/>
        </w:rPr>
        <w:t xml:space="preserve"> Согласны ли вы с ним? Если нет, то почему?</w:t>
      </w:r>
    </w:p>
    <w:p w:rsidR="00EF361D" w:rsidRPr="00B74E48" w:rsidRDefault="00EF361D" w:rsidP="00EF36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>Какие факторы стали решающими при выборе религии Владимиром Святославичем? (Документ 2)</w:t>
      </w:r>
    </w:p>
    <w:p w:rsidR="00EF361D" w:rsidRPr="00B74E48" w:rsidRDefault="00EF361D" w:rsidP="00EF36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 xml:space="preserve"> Что на этот счет говорит Л. Гумилев?</w:t>
      </w:r>
    </w:p>
    <w:p w:rsidR="00EF361D" w:rsidRPr="00B74E48" w:rsidRDefault="00EF361D" w:rsidP="00EF361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F361D" w:rsidRDefault="00EF361D" w:rsidP="00EF361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704A" w:rsidRPr="00EF361D" w:rsidRDefault="002F704A">
      <w:pPr>
        <w:rPr>
          <w:lang w:val="ru-RU"/>
        </w:rPr>
      </w:pPr>
    </w:p>
    <w:sectPr w:rsidR="002F704A" w:rsidRPr="00EF361D" w:rsidSect="00EF361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41C29"/>
    <w:multiLevelType w:val="hybridMultilevel"/>
    <w:tmpl w:val="F820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EF361D"/>
    <w:rsid w:val="002F704A"/>
    <w:rsid w:val="00EF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1D"/>
    <w:pPr>
      <w:widowControl w:val="0"/>
      <w:spacing w:after="0" w:line="240" w:lineRule="auto"/>
      <w:jc w:val="both"/>
    </w:pPr>
    <w:rPr>
      <w:rFonts w:ascii="Century" w:eastAsia="MS Mincho" w:hAnsi="Century" w:cs="Century"/>
      <w:kern w:val="2"/>
      <w:sz w:val="21"/>
      <w:szCs w:val="21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61D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torik.3dn.ru/publ/lekcii_po_istorii_rossii/istorija_rossii_lebedev_v_eh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2015-01-10T12:48:00Z</dcterms:created>
  <dcterms:modified xsi:type="dcterms:W3CDTF">2015-01-10T12:49:00Z</dcterms:modified>
</cp:coreProperties>
</file>