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D7" w:rsidRPr="007B7581" w:rsidRDefault="00CF12D7" w:rsidP="00CF12D7">
      <w:pPr>
        <w:ind w:left="360"/>
        <w:jc w:val="right"/>
        <w:rPr>
          <w:rFonts w:eastAsia="Times New Roman" w:cs="Times New Roman"/>
          <w:b/>
          <w:color w:val="auto"/>
          <w:lang w:eastAsia="x-none"/>
        </w:rPr>
      </w:pPr>
      <w:r w:rsidRPr="007B7581">
        <w:rPr>
          <w:rFonts w:eastAsia="Times New Roman" w:cs="Times New Roman"/>
          <w:b/>
          <w:color w:val="auto"/>
          <w:lang w:eastAsia="x-none"/>
        </w:rPr>
        <w:t>ПРИЛОЖЕНИЕ 1</w:t>
      </w:r>
    </w:p>
    <w:p w:rsidR="00CF12D7" w:rsidRPr="004B67B3" w:rsidRDefault="00CF12D7" w:rsidP="00CF12D7">
      <w:pPr>
        <w:jc w:val="center"/>
        <w:rPr>
          <w:rFonts w:cs="Times New Roman"/>
          <w:b/>
        </w:rPr>
      </w:pPr>
      <w:r w:rsidRPr="004B67B3">
        <w:rPr>
          <w:rFonts w:cs="Times New Roman"/>
          <w:b/>
        </w:rPr>
        <w:t>ТЕХНОЛОГИЧЕСКАЯ КАРТА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"/>
        <w:gridCol w:w="2434"/>
        <w:gridCol w:w="1035"/>
        <w:gridCol w:w="2536"/>
        <w:gridCol w:w="2353"/>
        <w:gridCol w:w="3156"/>
        <w:gridCol w:w="2735"/>
      </w:tblGrid>
      <w:tr w:rsidR="00CF12D7" w:rsidRPr="001C66CC" w:rsidTr="007B307F">
        <w:tc>
          <w:tcPr>
            <w:tcW w:w="538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b/>
                <w:sz w:val="24"/>
              </w:rPr>
            </w:pPr>
            <w:r w:rsidRPr="001C66CC">
              <w:rPr>
                <w:rFonts w:cs="Times New Roman"/>
                <w:b/>
                <w:sz w:val="24"/>
              </w:rPr>
              <w:t>№</w:t>
            </w:r>
          </w:p>
        </w:tc>
        <w:tc>
          <w:tcPr>
            <w:tcW w:w="2450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b/>
                <w:sz w:val="24"/>
              </w:rPr>
            </w:pPr>
            <w:r w:rsidRPr="001C66CC">
              <w:rPr>
                <w:rFonts w:cs="Times New Roman"/>
                <w:b/>
                <w:sz w:val="24"/>
              </w:rPr>
              <w:t>Этап занятия</w:t>
            </w:r>
          </w:p>
        </w:tc>
        <w:tc>
          <w:tcPr>
            <w:tcW w:w="1043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b/>
                <w:sz w:val="24"/>
              </w:rPr>
            </w:pPr>
            <w:r w:rsidRPr="001C66CC">
              <w:rPr>
                <w:rFonts w:cs="Times New Roman"/>
                <w:b/>
                <w:sz w:val="24"/>
              </w:rPr>
              <w:t>Время</w:t>
            </w:r>
            <w:r>
              <w:rPr>
                <w:rFonts w:cs="Times New Roman"/>
                <w:b/>
                <w:sz w:val="24"/>
              </w:rPr>
              <w:t xml:space="preserve"> (мин)</w:t>
            </w:r>
            <w:r w:rsidRPr="001C66CC">
              <w:rPr>
                <w:rFonts w:cs="Times New Roman"/>
                <w:b/>
                <w:sz w:val="24"/>
              </w:rPr>
              <w:t xml:space="preserve"> </w:t>
            </w:r>
          </w:p>
        </w:tc>
        <w:tc>
          <w:tcPr>
            <w:tcW w:w="2569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b/>
                <w:sz w:val="24"/>
              </w:rPr>
            </w:pPr>
            <w:r w:rsidRPr="001C66CC">
              <w:rPr>
                <w:rFonts w:cs="Times New Roman"/>
                <w:b/>
                <w:sz w:val="24"/>
              </w:rPr>
              <w:t xml:space="preserve">Цель </w:t>
            </w:r>
          </w:p>
        </w:tc>
        <w:tc>
          <w:tcPr>
            <w:tcW w:w="2155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b/>
                <w:sz w:val="24"/>
              </w:rPr>
            </w:pPr>
            <w:r w:rsidRPr="001C66CC">
              <w:rPr>
                <w:rFonts w:cs="Times New Roman"/>
                <w:b/>
                <w:sz w:val="24"/>
              </w:rPr>
              <w:t>Оборудование, инвентарь</w:t>
            </w:r>
          </w:p>
        </w:tc>
        <w:tc>
          <w:tcPr>
            <w:tcW w:w="3237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b/>
                <w:sz w:val="24"/>
              </w:rPr>
            </w:pPr>
            <w:r w:rsidRPr="001C66CC">
              <w:rPr>
                <w:rFonts w:cs="Times New Roman"/>
                <w:b/>
                <w:sz w:val="24"/>
              </w:rPr>
              <w:t>Действия преподавателя</w:t>
            </w:r>
          </w:p>
        </w:tc>
        <w:tc>
          <w:tcPr>
            <w:tcW w:w="2794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b/>
                <w:sz w:val="24"/>
              </w:rPr>
            </w:pPr>
            <w:r w:rsidRPr="001C66CC">
              <w:rPr>
                <w:rFonts w:cs="Times New Roman"/>
                <w:b/>
                <w:sz w:val="24"/>
              </w:rPr>
              <w:t xml:space="preserve">Действия студентов </w:t>
            </w:r>
          </w:p>
        </w:tc>
      </w:tr>
      <w:tr w:rsidR="00CF12D7" w:rsidRPr="001C66CC" w:rsidTr="007B307F">
        <w:tc>
          <w:tcPr>
            <w:tcW w:w="538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1C66CC">
              <w:rPr>
                <w:rFonts w:cs="Times New Roman"/>
                <w:sz w:val="24"/>
              </w:rPr>
              <w:t>1.</w:t>
            </w:r>
          </w:p>
        </w:tc>
        <w:tc>
          <w:tcPr>
            <w:tcW w:w="2450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 w:rsidRPr="001C66CC">
              <w:rPr>
                <w:rFonts w:cs="Times New Roman"/>
                <w:sz w:val="24"/>
              </w:rPr>
              <w:t>Организационный этап</w:t>
            </w:r>
          </w:p>
        </w:tc>
        <w:tc>
          <w:tcPr>
            <w:tcW w:w="1043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1 </w:t>
            </w:r>
          </w:p>
        </w:tc>
        <w:tc>
          <w:tcPr>
            <w:tcW w:w="2569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 w:rsidRPr="001C66CC">
              <w:rPr>
                <w:rFonts w:cs="Times New Roman"/>
                <w:sz w:val="24"/>
              </w:rPr>
              <w:t>Организация студентов на занятие</w:t>
            </w:r>
          </w:p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2155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3237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Организует студентов для проведения занятия</w:t>
            </w:r>
          </w:p>
        </w:tc>
        <w:tc>
          <w:tcPr>
            <w:tcW w:w="2794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 w:rsidRPr="001C66CC">
              <w:rPr>
                <w:rFonts w:cs="Times New Roman"/>
                <w:sz w:val="24"/>
              </w:rPr>
              <w:t>Рассаживаются по местам,</w:t>
            </w:r>
          </w:p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 w:rsidRPr="001C66CC">
              <w:rPr>
                <w:rFonts w:cs="Times New Roman"/>
                <w:sz w:val="24"/>
              </w:rPr>
              <w:t>настраиваются на работу</w:t>
            </w:r>
          </w:p>
        </w:tc>
      </w:tr>
      <w:tr w:rsidR="00CF12D7" w:rsidRPr="001C66CC" w:rsidTr="007B307F">
        <w:tc>
          <w:tcPr>
            <w:tcW w:w="538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1C66CC">
              <w:rPr>
                <w:rFonts w:cs="Times New Roman"/>
                <w:sz w:val="24"/>
              </w:rPr>
              <w:t>2.</w:t>
            </w:r>
          </w:p>
        </w:tc>
        <w:tc>
          <w:tcPr>
            <w:tcW w:w="2450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 w:rsidRPr="001C66CC">
              <w:rPr>
                <w:rFonts w:cs="Times New Roman"/>
                <w:sz w:val="24"/>
              </w:rPr>
              <w:t>Вступительная часть</w:t>
            </w:r>
          </w:p>
        </w:tc>
        <w:tc>
          <w:tcPr>
            <w:tcW w:w="1043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2 </w:t>
            </w:r>
          </w:p>
        </w:tc>
        <w:tc>
          <w:tcPr>
            <w:tcW w:w="2569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Актуализация</w:t>
            </w:r>
          </w:p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 w:rsidRPr="001C66CC">
              <w:rPr>
                <w:rFonts w:cs="Times New Roman"/>
                <w:sz w:val="24"/>
              </w:rPr>
              <w:t>Целеполагание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 w:rsidRPr="001C66CC">
              <w:rPr>
                <w:rFonts w:cs="Times New Roman"/>
                <w:sz w:val="24"/>
              </w:rPr>
              <w:t xml:space="preserve">Мотивация на работу </w:t>
            </w:r>
          </w:p>
        </w:tc>
        <w:tc>
          <w:tcPr>
            <w:tcW w:w="2155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3237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 w:rsidRPr="001C66CC">
              <w:rPr>
                <w:rFonts w:cs="Times New Roman"/>
                <w:sz w:val="24"/>
              </w:rPr>
              <w:t>Объявляет тему, цель занятия</w:t>
            </w:r>
            <w:r>
              <w:rPr>
                <w:rFonts w:cs="Times New Roman"/>
                <w:sz w:val="24"/>
              </w:rPr>
              <w:t>. Используется прием «от противного»</w:t>
            </w:r>
          </w:p>
        </w:tc>
        <w:tc>
          <w:tcPr>
            <w:tcW w:w="2794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 w:rsidRPr="001C66CC">
              <w:rPr>
                <w:rFonts w:cs="Times New Roman"/>
                <w:sz w:val="24"/>
              </w:rPr>
              <w:t>Слушают</w:t>
            </w:r>
            <w:r>
              <w:rPr>
                <w:rFonts w:cs="Times New Roman"/>
                <w:sz w:val="24"/>
              </w:rPr>
              <w:t>, мотивируются</w:t>
            </w:r>
          </w:p>
        </w:tc>
      </w:tr>
      <w:tr w:rsidR="00CF12D7" w:rsidRPr="001C66CC" w:rsidTr="007B307F">
        <w:trPr>
          <w:trHeight w:val="1741"/>
        </w:trPr>
        <w:tc>
          <w:tcPr>
            <w:tcW w:w="538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  <w:r w:rsidRPr="001C66CC">
              <w:rPr>
                <w:rFonts w:cs="Times New Roman"/>
                <w:sz w:val="24"/>
              </w:rPr>
              <w:t>.</w:t>
            </w:r>
          </w:p>
        </w:tc>
        <w:tc>
          <w:tcPr>
            <w:tcW w:w="2450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Знакомство с основными понятиями темы: личность, индивид, индивидуальность, человек</w:t>
            </w:r>
          </w:p>
        </w:tc>
        <w:tc>
          <w:tcPr>
            <w:tcW w:w="1043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10</w:t>
            </w:r>
          </w:p>
        </w:tc>
        <w:tc>
          <w:tcPr>
            <w:tcW w:w="2569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Изучение нового материала  (1 часть)</w:t>
            </w:r>
          </w:p>
        </w:tc>
        <w:tc>
          <w:tcPr>
            <w:tcW w:w="2155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Рисунок «Соотношение понятий «человек», «индивид», «личность», «индивидуальность»</w:t>
            </w:r>
          </w:p>
        </w:tc>
        <w:tc>
          <w:tcPr>
            <w:tcW w:w="3237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Объясняет новый материал, рисует на доске схему «Соотношение понятий»</w:t>
            </w:r>
          </w:p>
        </w:tc>
        <w:tc>
          <w:tcPr>
            <w:tcW w:w="2794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Слушают, воспринимают информацию </w:t>
            </w:r>
          </w:p>
        </w:tc>
      </w:tr>
      <w:tr w:rsidR="00CF12D7" w:rsidRPr="001C66CC" w:rsidTr="007B307F">
        <w:tc>
          <w:tcPr>
            <w:tcW w:w="538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  <w:r w:rsidRPr="001C66CC">
              <w:rPr>
                <w:rFonts w:cs="Times New Roman"/>
                <w:sz w:val="24"/>
              </w:rPr>
              <w:t>.</w:t>
            </w:r>
          </w:p>
        </w:tc>
        <w:tc>
          <w:tcPr>
            <w:tcW w:w="2450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Промежуточная рефлексия </w:t>
            </w:r>
          </w:p>
        </w:tc>
        <w:tc>
          <w:tcPr>
            <w:tcW w:w="1043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</w:p>
        </w:tc>
        <w:tc>
          <w:tcPr>
            <w:tcW w:w="2569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Повторение и закрепление усвоенных понятий</w:t>
            </w:r>
          </w:p>
        </w:tc>
        <w:tc>
          <w:tcPr>
            <w:tcW w:w="2155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3237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Организует фронтальный опрос. Инструктирует студентов: начало ответа фразой «Я знаю, что…»</w:t>
            </w:r>
          </w:p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Предлагает </w:t>
            </w:r>
          </w:p>
        </w:tc>
        <w:tc>
          <w:tcPr>
            <w:tcW w:w="2794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Вспоминают информацию, размышляют, отвечают</w:t>
            </w:r>
          </w:p>
        </w:tc>
      </w:tr>
      <w:tr w:rsidR="00CF12D7" w:rsidRPr="001C66CC" w:rsidTr="007B307F">
        <w:tc>
          <w:tcPr>
            <w:tcW w:w="538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  <w:r w:rsidRPr="001C66CC">
              <w:rPr>
                <w:rFonts w:cs="Times New Roman"/>
                <w:sz w:val="24"/>
              </w:rPr>
              <w:t>.</w:t>
            </w:r>
          </w:p>
        </w:tc>
        <w:tc>
          <w:tcPr>
            <w:tcW w:w="2450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Создание «Кластера»</w:t>
            </w:r>
          </w:p>
        </w:tc>
        <w:tc>
          <w:tcPr>
            <w:tcW w:w="1043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</w:p>
        </w:tc>
        <w:tc>
          <w:tcPr>
            <w:tcW w:w="2569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Повышение учебной мотивации студентов, развитие вариативности мышления, подготовка к восприятию новой информации</w:t>
            </w:r>
          </w:p>
        </w:tc>
        <w:tc>
          <w:tcPr>
            <w:tcW w:w="2155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Доска и мел</w:t>
            </w:r>
          </w:p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либо</w:t>
            </w:r>
          </w:p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ватман и маркеры</w:t>
            </w:r>
          </w:p>
        </w:tc>
        <w:tc>
          <w:tcPr>
            <w:tcW w:w="3237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Записывает на доске основное понятие темы «личность». Просит студентов назвать связанные (по их мнению) понятия. Записывает их на доске, располагая рядом более близкие по смыслу понятия, ориентируясь на </w:t>
            </w:r>
            <w:r>
              <w:rPr>
                <w:rFonts w:cs="Times New Roman"/>
                <w:sz w:val="24"/>
              </w:rPr>
              <w:lastRenderedPageBreak/>
              <w:t>теорию личности Платонова</w:t>
            </w:r>
          </w:p>
        </w:tc>
        <w:tc>
          <w:tcPr>
            <w:tcW w:w="2794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 xml:space="preserve">Думают. </w:t>
            </w:r>
          </w:p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Называют понятия</w:t>
            </w:r>
          </w:p>
        </w:tc>
      </w:tr>
      <w:tr w:rsidR="00CF12D7" w:rsidRPr="001C66CC" w:rsidTr="007B307F">
        <w:tc>
          <w:tcPr>
            <w:tcW w:w="538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1C66CC">
              <w:rPr>
                <w:rFonts w:cs="Times New Roman"/>
                <w:sz w:val="24"/>
              </w:rPr>
              <w:lastRenderedPageBreak/>
              <w:t>6.</w:t>
            </w:r>
          </w:p>
        </w:tc>
        <w:tc>
          <w:tcPr>
            <w:tcW w:w="2450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Знакомство с информацией о структуре личности</w:t>
            </w:r>
          </w:p>
        </w:tc>
        <w:tc>
          <w:tcPr>
            <w:tcW w:w="1043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</w:p>
        </w:tc>
        <w:tc>
          <w:tcPr>
            <w:tcW w:w="2569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Изучение нового материала (2 часть)</w:t>
            </w:r>
          </w:p>
        </w:tc>
        <w:tc>
          <w:tcPr>
            <w:tcW w:w="2155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Доска с выполненными записями.</w:t>
            </w:r>
          </w:p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Плакат со схемой структуры личности по Платонову.</w:t>
            </w:r>
          </w:p>
        </w:tc>
        <w:tc>
          <w:tcPr>
            <w:tcW w:w="3237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Обращает внимание на схему, полученную на доске.</w:t>
            </w:r>
          </w:p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Стимулирует мыслительную деятельность студентов с помощью вопросов. Знакомит студентов со структурой личности по Платонову. </w:t>
            </w:r>
          </w:p>
        </w:tc>
        <w:tc>
          <w:tcPr>
            <w:tcW w:w="2794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Думают, отвечают на вопросы, воспринимают новую информацию</w:t>
            </w:r>
          </w:p>
        </w:tc>
      </w:tr>
      <w:tr w:rsidR="00CF12D7" w:rsidRPr="001C66CC" w:rsidTr="007B307F">
        <w:tc>
          <w:tcPr>
            <w:tcW w:w="538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1C66CC">
              <w:rPr>
                <w:rFonts w:cs="Times New Roman"/>
                <w:sz w:val="24"/>
              </w:rPr>
              <w:t xml:space="preserve">7. </w:t>
            </w:r>
          </w:p>
        </w:tc>
        <w:tc>
          <w:tcPr>
            <w:tcW w:w="2450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Упражнение  </w:t>
            </w:r>
          </w:p>
        </w:tc>
        <w:tc>
          <w:tcPr>
            <w:tcW w:w="1043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2569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Повторение и закрепление новой информации</w:t>
            </w:r>
          </w:p>
        </w:tc>
        <w:tc>
          <w:tcPr>
            <w:tcW w:w="2155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3237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Организует опрос желающих студентов</w:t>
            </w:r>
          </w:p>
        </w:tc>
        <w:tc>
          <w:tcPr>
            <w:tcW w:w="2794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Вспоминают информацию, поднимают руку, отвечают</w:t>
            </w:r>
          </w:p>
        </w:tc>
      </w:tr>
      <w:tr w:rsidR="00CF12D7" w:rsidRPr="001C66CC" w:rsidTr="007B307F">
        <w:tc>
          <w:tcPr>
            <w:tcW w:w="538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1C66CC">
              <w:rPr>
                <w:rFonts w:cs="Times New Roman"/>
                <w:sz w:val="24"/>
              </w:rPr>
              <w:t>8.</w:t>
            </w:r>
          </w:p>
        </w:tc>
        <w:tc>
          <w:tcPr>
            <w:tcW w:w="2450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Работа малыми группами</w:t>
            </w:r>
          </w:p>
        </w:tc>
        <w:tc>
          <w:tcPr>
            <w:tcW w:w="1043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</w:p>
        </w:tc>
        <w:tc>
          <w:tcPr>
            <w:tcW w:w="2569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Стимулирование самостоятельной мыслительной деятельности</w:t>
            </w:r>
          </w:p>
        </w:tc>
        <w:tc>
          <w:tcPr>
            <w:tcW w:w="2155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Кейсы с информацией для каждой малой группы</w:t>
            </w:r>
          </w:p>
        </w:tc>
        <w:tc>
          <w:tcPr>
            <w:tcW w:w="3237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Организует малые группы. Инструктирует студентов. Раздает кейсы. Следит за регламентом. Консультирует группы при необходимости. Организует </w:t>
            </w:r>
            <w:proofErr w:type="spellStart"/>
            <w:r>
              <w:rPr>
                <w:rFonts w:cs="Times New Roman"/>
                <w:sz w:val="24"/>
              </w:rPr>
              <w:t>общегрупповое</w:t>
            </w:r>
            <w:proofErr w:type="spellEnd"/>
            <w:r>
              <w:rPr>
                <w:rFonts w:cs="Times New Roman"/>
                <w:sz w:val="24"/>
              </w:rPr>
              <w:t xml:space="preserve"> обсуждение ситуаций. </w:t>
            </w:r>
          </w:p>
        </w:tc>
        <w:tc>
          <w:tcPr>
            <w:tcW w:w="2794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Изучают содержимое кейсов, анализируют ситуацию, ориентируясь на заданные вопросы. Готовят информацию для представления её в группе.</w:t>
            </w:r>
          </w:p>
        </w:tc>
      </w:tr>
      <w:tr w:rsidR="00CF12D7" w:rsidRPr="001C66CC" w:rsidTr="007B307F">
        <w:tc>
          <w:tcPr>
            <w:tcW w:w="538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9.</w:t>
            </w:r>
          </w:p>
        </w:tc>
        <w:tc>
          <w:tcPr>
            <w:tcW w:w="2450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Обобщение информации о социализации личности.</w:t>
            </w:r>
          </w:p>
        </w:tc>
        <w:tc>
          <w:tcPr>
            <w:tcW w:w="1043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2569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Обобщение материала (3 часть)</w:t>
            </w:r>
          </w:p>
        </w:tc>
        <w:tc>
          <w:tcPr>
            <w:tcW w:w="2155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Доска и мел для изображения схемы «Взаимодействие факторов развития личности»</w:t>
            </w:r>
          </w:p>
        </w:tc>
        <w:tc>
          <w:tcPr>
            <w:tcW w:w="3237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Обобщает выводы предыдущего этапа.</w:t>
            </w:r>
          </w:p>
        </w:tc>
        <w:tc>
          <w:tcPr>
            <w:tcW w:w="2794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Воспринимают информацию</w:t>
            </w:r>
          </w:p>
        </w:tc>
      </w:tr>
      <w:tr w:rsidR="00CF12D7" w:rsidRPr="001C66CC" w:rsidTr="007B307F">
        <w:tc>
          <w:tcPr>
            <w:tcW w:w="538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10.</w:t>
            </w:r>
          </w:p>
        </w:tc>
        <w:tc>
          <w:tcPr>
            <w:tcW w:w="2450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Составление </w:t>
            </w:r>
            <w:proofErr w:type="spellStart"/>
            <w:r>
              <w:rPr>
                <w:rFonts w:cs="Times New Roman"/>
                <w:sz w:val="24"/>
              </w:rPr>
              <w:t>синквейна</w:t>
            </w:r>
            <w:proofErr w:type="spellEnd"/>
          </w:p>
        </w:tc>
        <w:tc>
          <w:tcPr>
            <w:tcW w:w="1043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</w:p>
        </w:tc>
        <w:tc>
          <w:tcPr>
            <w:tcW w:w="2569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Рефлексия</w:t>
            </w:r>
          </w:p>
        </w:tc>
        <w:tc>
          <w:tcPr>
            <w:tcW w:w="2155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Плакат с правилами составления </w:t>
            </w:r>
            <w:proofErr w:type="spellStart"/>
            <w:r>
              <w:rPr>
                <w:rFonts w:cs="Times New Roman"/>
                <w:sz w:val="24"/>
              </w:rPr>
              <w:t>синквейна</w:t>
            </w:r>
            <w:proofErr w:type="spellEnd"/>
          </w:p>
        </w:tc>
        <w:tc>
          <w:tcPr>
            <w:tcW w:w="3237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Напоминает правила составления </w:t>
            </w:r>
            <w:proofErr w:type="spellStart"/>
            <w:r>
              <w:rPr>
                <w:rFonts w:cs="Times New Roman"/>
                <w:sz w:val="24"/>
              </w:rPr>
              <w:t>синквейна</w:t>
            </w:r>
            <w:proofErr w:type="spellEnd"/>
            <w:r>
              <w:rPr>
                <w:rFonts w:cs="Times New Roman"/>
                <w:sz w:val="24"/>
              </w:rPr>
              <w:t xml:space="preserve">. </w:t>
            </w:r>
          </w:p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Организует представление студентами </w:t>
            </w:r>
            <w:proofErr w:type="gramStart"/>
            <w:r>
              <w:rPr>
                <w:rFonts w:cs="Times New Roman"/>
                <w:sz w:val="24"/>
              </w:rPr>
              <w:t>составленных</w:t>
            </w:r>
            <w:proofErr w:type="gram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синквейнов</w:t>
            </w:r>
            <w:proofErr w:type="spellEnd"/>
          </w:p>
        </w:tc>
        <w:tc>
          <w:tcPr>
            <w:tcW w:w="2794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Составляют </w:t>
            </w:r>
            <w:proofErr w:type="spellStart"/>
            <w:r>
              <w:rPr>
                <w:rFonts w:cs="Times New Roman"/>
                <w:sz w:val="24"/>
              </w:rPr>
              <w:t>синквейн</w:t>
            </w:r>
            <w:proofErr w:type="spellEnd"/>
            <w:r>
              <w:rPr>
                <w:rFonts w:cs="Times New Roman"/>
                <w:sz w:val="24"/>
              </w:rPr>
              <w:t>. Зачитывают его группе</w:t>
            </w:r>
          </w:p>
        </w:tc>
      </w:tr>
      <w:tr w:rsidR="00CF12D7" w:rsidRPr="001C66CC" w:rsidTr="007B307F">
        <w:tc>
          <w:tcPr>
            <w:tcW w:w="538" w:type="dxa"/>
          </w:tcPr>
          <w:p w:rsidR="00CF12D7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11.</w:t>
            </w:r>
          </w:p>
        </w:tc>
        <w:tc>
          <w:tcPr>
            <w:tcW w:w="2450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Домашнее задание</w:t>
            </w:r>
          </w:p>
        </w:tc>
        <w:tc>
          <w:tcPr>
            <w:tcW w:w="1043" w:type="dxa"/>
          </w:tcPr>
          <w:p w:rsidR="00CF12D7" w:rsidRPr="001C66CC" w:rsidRDefault="00317701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2569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Мотивирование студентов на самостоятельную работу дома</w:t>
            </w:r>
          </w:p>
        </w:tc>
        <w:tc>
          <w:tcPr>
            <w:tcW w:w="2155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Доступ в Интернет (на домашнем компьютере, телефоне), тетради</w:t>
            </w:r>
          </w:p>
        </w:tc>
        <w:tc>
          <w:tcPr>
            <w:tcW w:w="3237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Дает инструкцию по выполнению домашнего задания. </w:t>
            </w:r>
          </w:p>
        </w:tc>
        <w:tc>
          <w:tcPr>
            <w:tcW w:w="2794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Знакомятся с инструкцией</w:t>
            </w:r>
          </w:p>
        </w:tc>
      </w:tr>
      <w:tr w:rsidR="00CF12D7" w:rsidRPr="001C66CC" w:rsidTr="007B307F">
        <w:tc>
          <w:tcPr>
            <w:tcW w:w="538" w:type="dxa"/>
          </w:tcPr>
          <w:p w:rsidR="00CF12D7" w:rsidRPr="001C66CC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  <w:r w:rsidRPr="001C66CC">
              <w:rPr>
                <w:rFonts w:cs="Times New Roman"/>
                <w:sz w:val="24"/>
              </w:rPr>
              <w:t>.</w:t>
            </w:r>
          </w:p>
        </w:tc>
        <w:tc>
          <w:tcPr>
            <w:tcW w:w="2450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Тайное голосование</w:t>
            </w:r>
          </w:p>
        </w:tc>
        <w:tc>
          <w:tcPr>
            <w:tcW w:w="1043" w:type="dxa"/>
          </w:tcPr>
          <w:p w:rsidR="00CF12D7" w:rsidRPr="001C66CC" w:rsidRDefault="00317701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2569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 w:rsidRPr="001C66CC">
              <w:rPr>
                <w:rFonts w:cs="Times New Roman"/>
                <w:sz w:val="24"/>
              </w:rPr>
              <w:t>Обратная</w:t>
            </w:r>
            <w:r>
              <w:rPr>
                <w:rFonts w:cs="Times New Roman"/>
                <w:sz w:val="24"/>
              </w:rPr>
              <w:t xml:space="preserve"> связь</w:t>
            </w:r>
          </w:p>
        </w:tc>
        <w:tc>
          <w:tcPr>
            <w:tcW w:w="2155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Цветные </w:t>
            </w:r>
            <w:proofErr w:type="spellStart"/>
            <w:r>
              <w:rPr>
                <w:rFonts w:cs="Times New Roman"/>
                <w:sz w:val="24"/>
              </w:rPr>
              <w:t>стикеры</w:t>
            </w:r>
            <w:proofErr w:type="spellEnd"/>
          </w:p>
        </w:tc>
        <w:tc>
          <w:tcPr>
            <w:tcW w:w="3237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Организует оценивание студентами работы на занятии друг друга.</w:t>
            </w:r>
          </w:p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Подводит итог.</w:t>
            </w:r>
          </w:p>
        </w:tc>
        <w:tc>
          <w:tcPr>
            <w:tcW w:w="2794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Участвуют в оценивании</w:t>
            </w:r>
          </w:p>
        </w:tc>
      </w:tr>
      <w:tr w:rsidR="00CF12D7" w:rsidRPr="001C66CC" w:rsidTr="007B307F">
        <w:tc>
          <w:tcPr>
            <w:tcW w:w="538" w:type="dxa"/>
          </w:tcPr>
          <w:p w:rsidR="00CF12D7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13.</w:t>
            </w:r>
          </w:p>
        </w:tc>
        <w:tc>
          <w:tcPr>
            <w:tcW w:w="2450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Организационный этап</w:t>
            </w:r>
          </w:p>
        </w:tc>
        <w:tc>
          <w:tcPr>
            <w:tcW w:w="1043" w:type="dxa"/>
          </w:tcPr>
          <w:p w:rsidR="00CF12D7" w:rsidRPr="001C66CC" w:rsidRDefault="00317701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2569" w:type="dxa"/>
          </w:tcPr>
          <w:p w:rsidR="00CF12D7" w:rsidRPr="001C66CC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Обратная связь</w:t>
            </w:r>
          </w:p>
        </w:tc>
        <w:tc>
          <w:tcPr>
            <w:tcW w:w="2155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3237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Словесное поощрение студентов. Благодарность участникам занятия. </w:t>
            </w:r>
          </w:p>
        </w:tc>
        <w:tc>
          <w:tcPr>
            <w:tcW w:w="2794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Слушают </w:t>
            </w:r>
          </w:p>
        </w:tc>
      </w:tr>
      <w:tr w:rsidR="00CF12D7" w:rsidRPr="001C66CC" w:rsidTr="007B307F">
        <w:tc>
          <w:tcPr>
            <w:tcW w:w="538" w:type="dxa"/>
          </w:tcPr>
          <w:p w:rsidR="00CF12D7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50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Итого:</w:t>
            </w:r>
          </w:p>
        </w:tc>
        <w:tc>
          <w:tcPr>
            <w:tcW w:w="1043" w:type="dxa"/>
          </w:tcPr>
          <w:p w:rsidR="00CF12D7" w:rsidRDefault="00CF12D7" w:rsidP="007B307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90</w:t>
            </w:r>
          </w:p>
        </w:tc>
        <w:tc>
          <w:tcPr>
            <w:tcW w:w="2569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2155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3237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2794" w:type="dxa"/>
          </w:tcPr>
          <w:p w:rsidR="00CF12D7" w:rsidRDefault="00CF12D7" w:rsidP="007B307F">
            <w:pPr>
              <w:spacing w:line="240" w:lineRule="auto"/>
              <w:rPr>
                <w:rFonts w:cs="Times New Roman"/>
                <w:sz w:val="24"/>
              </w:rPr>
            </w:pPr>
          </w:p>
        </w:tc>
      </w:tr>
    </w:tbl>
    <w:p w:rsidR="004F6FBE" w:rsidRDefault="004F6FBE"/>
    <w:sectPr w:rsidR="004F6FBE" w:rsidSect="00CF12D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E2"/>
    <w:rsid w:val="002820CB"/>
    <w:rsid w:val="00317701"/>
    <w:rsid w:val="004F6FBE"/>
    <w:rsid w:val="00946AE2"/>
    <w:rsid w:val="00C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12D7"/>
    <w:pPr>
      <w:widowControl w:val="0"/>
      <w:spacing w:after="0" w:line="360" w:lineRule="auto"/>
      <w:jc w:val="both"/>
    </w:pPr>
    <w:rPr>
      <w:rFonts w:cs="Courier New"/>
      <w:bCs w:val="0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2D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12D7"/>
    <w:pPr>
      <w:widowControl w:val="0"/>
      <w:spacing w:after="0" w:line="360" w:lineRule="auto"/>
      <w:jc w:val="both"/>
    </w:pPr>
    <w:rPr>
      <w:rFonts w:cs="Courier New"/>
      <w:bCs w:val="0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2D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Biblio1</dc:creator>
  <cp:keywords/>
  <dc:description/>
  <cp:lastModifiedBy>ПК</cp:lastModifiedBy>
  <cp:revision>3</cp:revision>
  <dcterms:created xsi:type="dcterms:W3CDTF">2018-09-19T09:08:00Z</dcterms:created>
  <dcterms:modified xsi:type="dcterms:W3CDTF">2018-09-20T17:32:00Z</dcterms:modified>
</cp:coreProperties>
</file>