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EE" w:rsidRPr="004041C2" w:rsidRDefault="00A55078" w:rsidP="00630B5E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bookmarkStart w:id="0" w:name="_GoBack"/>
      <w:bookmarkEnd w:id="0"/>
      <w:r w:rsidRPr="004041C2">
        <w:rPr>
          <w:rFonts w:ascii="Arial" w:eastAsia="Times New Roman" w:hAnsi="Arial" w:cs="Arial"/>
          <w:sz w:val="28"/>
          <w:szCs w:val="28"/>
          <w:lang w:eastAsia="ru-RU"/>
        </w:rPr>
        <w:t>Технологическая карта урока</w:t>
      </w:r>
    </w:p>
    <w:p w:rsidR="000638D8" w:rsidRPr="004041C2" w:rsidRDefault="000638D8" w:rsidP="002D0ED0">
      <w:pPr>
        <w:spacing w:after="0" w:line="360" w:lineRule="auto"/>
        <w:rPr>
          <w:rFonts w:ascii="Arial" w:eastAsia="Times New Roman" w:hAnsi="Arial" w:cs="Arial"/>
          <w:bCs/>
          <w:iCs/>
          <w:sz w:val="24"/>
          <w:szCs w:val="24"/>
          <w:u w:val="single"/>
          <w:lang w:eastAsia="ru-RU"/>
        </w:rPr>
      </w:pPr>
    </w:p>
    <w:tbl>
      <w:tblPr>
        <w:tblW w:w="1431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59"/>
        <w:gridCol w:w="4487"/>
        <w:gridCol w:w="2835"/>
        <w:gridCol w:w="2126"/>
      </w:tblGrid>
      <w:tr w:rsidR="00A55078" w:rsidRPr="004041C2" w:rsidTr="008F331E">
        <w:trPr>
          <w:trHeight w:val="17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78" w:rsidRPr="004041C2" w:rsidRDefault="00A55078" w:rsidP="00EE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78" w:rsidRPr="004041C2" w:rsidRDefault="00A55078" w:rsidP="00EE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after="0" w:line="240" w:lineRule="auto"/>
              <w:ind w:left="2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78" w:rsidRPr="004041C2" w:rsidRDefault="00A55078" w:rsidP="00EE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78" w:rsidRPr="004041C2" w:rsidRDefault="00A55078" w:rsidP="00EE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A55078" w:rsidRPr="004041C2" w:rsidTr="008F331E">
        <w:trPr>
          <w:trHeight w:val="103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B5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 Организацио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 момент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205A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Психологическая подготовка к общ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205A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благ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приятный  настрой.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4041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Настраиваются на работу, пр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верка рабочего места</w:t>
            </w:r>
          </w:p>
        </w:tc>
      </w:tr>
      <w:tr w:rsidR="00A55078" w:rsidRPr="004041C2" w:rsidTr="008F331E">
        <w:trPr>
          <w:trHeight w:val="224"/>
        </w:trPr>
        <w:tc>
          <w:tcPr>
            <w:tcW w:w="24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B5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Целеполагание и мотивация </w:t>
            </w:r>
          </w:p>
        </w:tc>
        <w:tc>
          <w:tcPr>
            <w:tcW w:w="245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3F67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Сформировать п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знавательные 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тивы. Организация  деятельности по определению ц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урока</w:t>
            </w:r>
          </w:p>
        </w:tc>
        <w:tc>
          <w:tcPr>
            <w:tcW w:w="4487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after="0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сентября 1945 г. Атомная бо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бардировка Хиросимы.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Вместе с учащимися формулирует тему урока.  Объясняет учебную задачу, по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водит учащихся к формулировке цели урока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3F679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Формулируют цель урока</w:t>
            </w:r>
          </w:p>
        </w:tc>
      </w:tr>
      <w:tr w:rsidR="00A55078" w:rsidRPr="004041C2" w:rsidTr="008F331E">
        <w:trPr>
          <w:trHeight w:val="1255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3F67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205A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630B5E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В чем заключается разрушител</w:t>
            </w:r>
            <w:r w:rsidRPr="004041C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ь</w:t>
            </w:r>
            <w:r w:rsidRPr="004041C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ная сила атомного оружия?</w:t>
            </w:r>
          </w:p>
          <w:p w:rsidR="00A55078" w:rsidRPr="004041C2" w:rsidRDefault="00A55078" w:rsidP="00A55078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Последствия атомной бомбард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ровки - погибших сразу примерно 80 тыс, в ближайщие 2 недели цифра возрасла до 120 тыс. Ато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ные тени на камне.</w:t>
            </w:r>
          </w:p>
          <w:p w:rsidR="00A55078" w:rsidRDefault="00A55078" w:rsidP="004041C2">
            <w:pPr>
              <w:ind w:left="206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Дать точную оценку степени этого загрязнения довольно трудно из-за недостатка информации, однако, поскольку в техническом отнош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нии первые атомные бомбы были относительно маломощными и несовершенными 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hyperlink r:id="rId8" w:tooltip="Малыш (бомба)" w:history="1">
              <w:r w:rsidRPr="004041C2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бомба «М</w:t>
              </w:r>
              <w:r w:rsidRPr="004041C2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а</w:t>
              </w:r>
              <w:r w:rsidRPr="004041C2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лыш»</w:t>
              </w:r>
            </w:hyperlink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например, содержала 64 кг урана, из которых лишь приблиз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тельно в 700 г происходила реа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ция деления), уровень загрязнения 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местности не мог быть значител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ным, хотя и представлял серьёзную опас</w:t>
            </w:r>
            <w:r w:rsidR="0016098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ность для населения </w:t>
            </w:r>
            <w:hyperlink r:id="rId9" w:history="1">
              <w:r w:rsidR="00160980" w:rsidRPr="00160980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(прил</w:t>
              </w:r>
              <w:r w:rsidR="00160980" w:rsidRPr="00160980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о</w:t>
              </w:r>
              <w:r w:rsidR="00160980" w:rsidRPr="00160980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жение 1)</w:t>
              </w:r>
            </w:hyperlink>
            <w:r w:rsidR="0016098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Для сравнения: в 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мент </w:t>
            </w:r>
            <w:hyperlink r:id="rId10" w:tooltip="Авария на Чернобыльской АЭС" w:history="1">
              <w:r w:rsidRPr="004041C2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аварии на Чернобыльской АЭС</w:t>
              </w:r>
            </w:hyperlink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в </w:t>
            </w:r>
            <w:hyperlink r:id="rId11" w:tooltip="Активная зона" w:history="1">
              <w:r w:rsidRPr="004041C2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активной зоне</w:t>
              </w:r>
            </w:hyperlink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реактора находилось несколько тонн проду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тов деления и </w:t>
            </w:r>
            <w:r w:rsid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трансурановых эл</w:t>
            </w:r>
            <w:r w:rsid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ментов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— различных радиоакти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ных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изотопов, накопившихся во время работы реактора.</w:t>
            </w:r>
          </w:p>
          <w:p w:rsidR="00160980" w:rsidRPr="004041C2" w:rsidRDefault="00160980" w:rsidP="004041C2">
            <w:pPr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Классификация атомной бомбы по мощности (</w:t>
            </w:r>
            <w:hyperlink r:id="rId12" w:history="1">
              <w:r w:rsidRPr="00160980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приложение 2).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205A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205A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B5E" w:rsidRPr="004041C2" w:rsidTr="008F331E">
        <w:trPr>
          <w:trHeight w:val="2027"/>
        </w:trPr>
        <w:tc>
          <w:tcPr>
            <w:tcW w:w="24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8F331E">
            <w:pPr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C2">
              <w:rPr>
                <w:rFonts w:ascii="Arial" w:hAnsi="Arial" w:cs="Arial"/>
                <w:iCs/>
                <w:sz w:val="24"/>
                <w:szCs w:val="24"/>
              </w:rPr>
              <w:lastRenderedPageBreak/>
              <w:t>Актуализация знаний (4 мин)</w:t>
            </w:r>
          </w:p>
        </w:tc>
        <w:tc>
          <w:tcPr>
            <w:tcW w:w="245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sz w:val="24"/>
                <w:szCs w:val="24"/>
              </w:rPr>
              <w:t>Активизировать знания учащихся, необходимых для изучения нового материала</w:t>
            </w:r>
          </w:p>
          <w:p w:rsidR="00BA5B5E" w:rsidRPr="004041C2" w:rsidRDefault="00BA5B5E" w:rsidP="00A5507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Умение применить знания, получе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ранее к реш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задач базового и повышенного уровней</w:t>
            </w:r>
          </w:p>
        </w:tc>
        <w:tc>
          <w:tcPr>
            <w:tcW w:w="4487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BA5B5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Написать реакцию деления ядра урана</w:t>
            </w:r>
          </w:p>
          <w:p w:rsidR="00BA5B5E" w:rsidRPr="004041C2" w:rsidRDefault="00AB5A25" w:rsidP="00A5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vertAlign w:val="sub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F937F5" wp14:editId="61E49A1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50800</wp:posOffset>
                      </wp:positionV>
                      <wp:extent cx="219075" cy="9525"/>
                      <wp:effectExtent l="12065" t="50800" r="16510" b="539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6.2pt;margin-top:4pt;width:17.2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VDMgIAAF8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92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235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U + 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n        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56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144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Ba + 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36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89</w:t>
            </w:r>
            <w:r w:rsidR="00BA5B5E"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Kr + ?</w:t>
            </w:r>
          </w:p>
          <w:p w:rsidR="00BA5B5E" w:rsidRPr="004041C2" w:rsidRDefault="00BA5B5E" w:rsidP="00BA5B5E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Расшифровать состав ато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ядер 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9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235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U, 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56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144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Ba, 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36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89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Kr </w:t>
            </w:r>
          </w:p>
          <w:p w:rsidR="00BA5B5E" w:rsidRPr="004041C2" w:rsidRDefault="00BA5B5E" w:rsidP="00A55078">
            <w:pPr>
              <w:spacing w:after="0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Организует работу учащихся в группах, используя инструкции к уроку;</w:t>
            </w:r>
          </w:p>
          <w:p w:rsidR="00BA5B5E" w:rsidRPr="004041C2" w:rsidRDefault="004041C2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оординирует де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ствия учащихся  в группах;</w:t>
            </w:r>
          </w:p>
          <w:p w:rsidR="00BA5B5E" w:rsidRPr="004041C2" w:rsidRDefault="004041C2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онтролирует выпо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заданий;</w:t>
            </w:r>
          </w:p>
          <w:p w:rsidR="00BA5B5E" w:rsidRPr="004041C2" w:rsidRDefault="004041C2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тмечает степень в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влеченности учащихся в работу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BA5B5E" w:rsidRPr="004041C2" w:rsidRDefault="004041C2" w:rsidP="00A550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одводит учащихся к обобщению,  самопр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A5B5E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верки.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Выполняют р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боту пошагово, используя 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струкцию к ур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ку, обобщают и делают сам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проверку</w:t>
            </w:r>
          </w:p>
        </w:tc>
      </w:tr>
      <w:tr w:rsidR="00BA5B5E" w:rsidRPr="004041C2" w:rsidTr="008F331E">
        <w:trPr>
          <w:trHeight w:val="313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44" w:rsidRDefault="00BA5B5E" w:rsidP="00656A44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074920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Рассказать механизм цепной ядерной реакции</w:t>
            </w:r>
            <w:r w:rsidR="00656A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BA5B5E" w:rsidRPr="004041C2" w:rsidRDefault="00BA5B5E" w:rsidP="00656A44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При каком значении коэ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фициента размножения нейтронов возможен ядерный взрыв?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5E" w:rsidRPr="004041C2" w:rsidRDefault="00BA5B5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078" w:rsidRPr="004041C2" w:rsidTr="008F331E">
        <w:trPr>
          <w:trHeight w:val="26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8071C6" w:rsidP="008F33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и систематиз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ция знаний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Умение объективно оценивать свои 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знания, свою раб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 в группе через деятельность на уроке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8071C6" w:rsidP="00A55078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Определение энергетического в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 ядерной реакции</w:t>
            </w:r>
            <w:r w:rsidR="00160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160980" w:rsidRPr="00160980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(приложение </w:t>
              </w:r>
              <w:r w:rsidR="00160980" w:rsidRPr="00160980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3)</w:t>
              </w:r>
            </w:hyperlink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 xml:space="preserve">Бомба содержала 64 килограмма чрезвычайно дорогого обогащённого до высокой степени урана, из них около 700 граммов или чуть больше 1 % непосредственно участвовало в цепной </w:t>
            </w:r>
            <w:r w:rsidRPr="004041C2">
              <w:rPr>
                <w:rFonts w:ascii="Arial" w:hAnsi="Arial" w:cs="Arial"/>
                <w:color w:val="0B0080"/>
                <w:sz w:val="24"/>
                <w:szCs w:val="24"/>
                <w:lang w:eastAsia="ru-RU"/>
              </w:rPr>
              <w:t xml:space="preserve">ядерной реакции 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 xml:space="preserve"> (ядра оставшихся атомов урана остались нетронутыми, так как остальной ур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>новый заряд был размётан взрывом и не успел поучаствовать в реакции).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>Массы ядер: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92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235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U - 235,04392 а.е.м.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56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144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Ba - 143,922953 а.е.м.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36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89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Kr - 88,917630 а.е.м.</w:t>
            </w:r>
          </w:p>
          <w:p w:rsidR="008071C6" w:rsidRPr="004041C2" w:rsidRDefault="008071C6" w:rsidP="0080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4041C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 - 1.008665 а.е.м.</w:t>
            </w:r>
          </w:p>
          <w:p w:rsidR="008071C6" w:rsidRPr="004041C2" w:rsidRDefault="008071C6" w:rsidP="00656A44">
            <w:pPr>
              <w:spacing w:after="0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Перевести Дж в ТНТ.</w:t>
            </w:r>
          </w:p>
          <w:p w:rsidR="008071C6" w:rsidRPr="004041C2" w:rsidRDefault="008071C6" w:rsidP="0065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кг ТНТ = 4,184 10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Дж</w:t>
            </w:r>
          </w:p>
          <w:p w:rsidR="008071C6" w:rsidRPr="004041C2" w:rsidRDefault="008071C6" w:rsidP="0065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т ТНТ = 4,184 10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Дж</w:t>
            </w:r>
          </w:p>
          <w:p w:rsidR="008071C6" w:rsidRPr="004041C2" w:rsidRDefault="008071C6" w:rsidP="00656A44">
            <w:pPr>
              <w:spacing w:after="0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ТНТ - тринитротолуол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Организует работу учащихся в группе по 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самопроверке по эт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Выполняют с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мостоятельную 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работу, пров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ряют, используя эталон, оцен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вают свою раб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ту, используя алгоритм сам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оценки</w:t>
            </w:r>
          </w:p>
        </w:tc>
      </w:tr>
      <w:tr w:rsidR="008071C6" w:rsidRPr="004041C2" w:rsidTr="008F331E">
        <w:trPr>
          <w:trHeight w:val="1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C6" w:rsidRPr="004041C2" w:rsidRDefault="008071C6" w:rsidP="008F33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Применение знаний и ум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новой ситуации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C6" w:rsidRPr="006B089A" w:rsidRDefault="006B089A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 усвоения, обсуждение доп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щенных ошибок и их коррекция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C6" w:rsidRPr="004041C2" w:rsidRDefault="008071C6" w:rsidP="00A55078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Рассмотреть дозы радиации, пол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ченные при взрыве бомбы</w:t>
            </w:r>
            <w:r w:rsidR="00160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Рассказ о хибакуся (</w:t>
            </w:r>
            <w:hyperlink r:id="rId14" w:history="1">
              <w:r w:rsidR="00160980" w:rsidRPr="00160980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t>приложение 4</w:t>
              </w:r>
            </w:hyperlink>
            <w:r w:rsidR="00160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D05FDD" w:rsidRPr="004041C2" w:rsidRDefault="00D05FDD" w:rsidP="0065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Определите годовую дозу радиоа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тивного облучения (норма 1,7 мЗв/год - 4 мЗв/год). Данные пре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4041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ставлены в таблице</w:t>
            </w:r>
            <w:r w:rsidR="0016098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160980" w:rsidRPr="00160980">
                <w:rPr>
                  <w:rStyle w:val="a5"/>
                  <w:rFonts w:ascii="Arial" w:hAnsi="Arial" w:cs="Arial"/>
                  <w:sz w:val="24"/>
                  <w:szCs w:val="24"/>
                  <w:lang w:eastAsia="ru-RU"/>
                </w:rPr>
                <w:t>(приложение 5)</w:t>
              </w:r>
            </w:hyperlink>
            <w:r w:rsidR="0016098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C6" w:rsidRPr="004041C2" w:rsidRDefault="008071C6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C6" w:rsidRPr="004041C2" w:rsidRDefault="008071C6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383E" w:rsidRPr="004041C2" w:rsidTr="008F331E">
        <w:trPr>
          <w:trHeight w:val="1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3E" w:rsidRPr="00BE383E" w:rsidRDefault="00BE383E" w:rsidP="008F33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Самосто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тельная раб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та с использ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ванием пол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BE3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ченных знаний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3E" w:rsidRPr="00A32621" w:rsidRDefault="00A32621" w:rsidP="00A326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Проконтролировать умение учеников использовать  р</w:t>
            </w: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нее изученное п</w:t>
            </w: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нятия </w:t>
            </w:r>
            <w:r w:rsidRPr="00A3262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 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3262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вых </w:t>
            </w:r>
            <w:r w:rsidRPr="00A32621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условиях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3E" w:rsidRPr="004041C2" w:rsidRDefault="006B089A" w:rsidP="00A55078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Тест</w:t>
            </w:r>
            <w:r w:rsidR="00160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hyperlink r:id="rId16" w:history="1">
              <w:r w:rsidR="00160980" w:rsidRPr="00160980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t>приложение 6</w:t>
              </w:r>
            </w:hyperlink>
            <w:r w:rsidR="00160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3E" w:rsidRPr="004041C2" w:rsidRDefault="00BE383E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3E" w:rsidRPr="006B089A" w:rsidRDefault="006B089A" w:rsidP="006B08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Ученики раб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тают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93368" w:rsidRPr="00A9336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проверяют по образцу и о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вечают на в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прос, разреш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ны ли затрудн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B08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A55078" w:rsidRPr="004041C2" w:rsidTr="008F331E">
        <w:trPr>
          <w:trHeight w:val="1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BE38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Подвед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итогов. Рефлексия</w:t>
            </w:r>
          </w:p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Дать оценку успешности дост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 цели, моб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лизация учащихся на рефлексию св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 деятельности на уроке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DD" w:rsidRPr="004041C2" w:rsidRDefault="00D05FDD" w:rsidP="00656A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Сумел(а) ли ты приобрести новые знания и умения? 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считаю возможным</w:t>
            </w:r>
            <w:r w:rsidR="00656A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считаю скорее невозможным</w:t>
            </w:r>
            <w:r w:rsidR="00656A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аргументы, доказательства</w:t>
            </w:r>
            <w:r w:rsidR="00656A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изложение своего мнения по пр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блеме</w:t>
            </w:r>
          </w:p>
          <w:p w:rsidR="00A55078" w:rsidRPr="004041C2" w:rsidRDefault="00A55078" w:rsidP="00D05F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Подводит итоги урока</w:t>
            </w:r>
            <w:r w:rsidR="00D05FDD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D05FDD" w:rsidRPr="004041C2" w:rsidRDefault="00D05FDD" w:rsidP="009103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реальной жизни мы видим, что научные открытия происходят в конкретной историч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ской обстановке, кот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рая влияет на научно-технический прогресс, ускоряет его или з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медляет.  В свою оч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редь научные откр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тия влияют на ход и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тории. Отдавая дол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ное величию челов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ческого разума, сп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собного заглянуть вглубь атома, мы должны помнить об огромной ответстве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ности человечества пред грядущими пок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лениями, ведь совр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менные арсеналы атомного оружия сп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собны уничтожить все жи</w:t>
            </w:r>
            <w:r w:rsidR="00BE38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вое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 Люди должны беречь нашу планету и сделать все возмо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ное, что бы наша звезда «по имени Солнце» еще долго </w:t>
            </w:r>
            <w:r w:rsidRPr="004041C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дарила нам свет и тепло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Заполняют л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сты рефлексии, оценивают  свою работу на уроке, используя алгоритм сам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оценки</w:t>
            </w:r>
          </w:p>
        </w:tc>
      </w:tr>
      <w:tr w:rsidR="00A55078" w:rsidRPr="004041C2" w:rsidTr="008F331E">
        <w:trPr>
          <w:trHeight w:val="134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D05FDD" w:rsidP="00AB5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пон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мание содержания домашнего задания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D05FDD" w:rsidP="00074920">
            <w:pPr>
              <w:spacing w:before="100" w:beforeAutospacing="1" w:after="100" w:afterAutospacing="1" w:line="240" w:lineRule="auto"/>
              <w:ind w:left="2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Эссе на тему «За и против атомной бомбардировки Хиросимы и </w:t>
            </w:r>
            <w:r w:rsidR="00074920"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саки»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Поясняет домашнее задание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78" w:rsidRPr="004041C2" w:rsidRDefault="00A55078" w:rsidP="00A550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Записывают дом. задание</w:t>
            </w:r>
          </w:p>
        </w:tc>
      </w:tr>
    </w:tbl>
    <w:p w:rsidR="003F1E37" w:rsidRPr="004041C2" w:rsidRDefault="003F1E37" w:rsidP="00B61BFE">
      <w:pPr>
        <w:rPr>
          <w:rFonts w:ascii="Arial" w:hAnsi="Arial" w:cs="Arial"/>
          <w:sz w:val="24"/>
          <w:szCs w:val="24"/>
        </w:rPr>
      </w:pPr>
    </w:p>
    <w:sectPr w:rsidR="003F1E37" w:rsidRPr="004041C2" w:rsidSect="00B61BFE">
      <w:footerReference w:type="default" r:id="rId17"/>
      <w:pgSz w:w="16838" w:h="11906" w:orient="landscape"/>
      <w:pgMar w:top="709" w:right="1245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58" w:rsidRDefault="008E7558" w:rsidP="008F331E">
      <w:pPr>
        <w:spacing w:after="0" w:line="240" w:lineRule="auto"/>
      </w:pPr>
      <w:r>
        <w:separator/>
      </w:r>
    </w:p>
  </w:endnote>
  <w:endnote w:type="continuationSeparator" w:id="0">
    <w:p w:rsidR="008E7558" w:rsidRDefault="008E7558" w:rsidP="008F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1E" w:rsidRDefault="008E755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5A25">
      <w:rPr>
        <w:noProof/>
      </w:rPr>
      <w:t>1</w:t>
    </w:r>
    <w:r>
      <w:rPr>
        <w:noProof/>
      </w:rPr>
      <w:fldChar w:fldCharType="end"/>
    </w:r>
  </w:p>
  <w:p w:rsidR="008F331E" w:rsidRDefault="008F33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58" w:rsidRDefault="008E7558" w:rsidP="008F331E">
      <w:pPr>
        <w:spacing w:after="0" w:line="240" w:lineRule="auto"/>
      </w:pPr>
      <w:r>
        <w:separator/>
      </w:r>
    </w:p>
  </w:footnote>
  <w:footnote w:type="continuationSeparator" w:id="0">
    <w:p w:rsidR="008E7558" w:rsidRDefault="008E7558" w:rsidP="008F3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77E5"/>
    <w:multiLevelType w:val="hybridMultilevel"/>
    <w:tmpl w:val="B4781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25C"/>
    <w:multiLevelType w:val="hybridMultilevel"/>
    <w:tmpl w:val="6AC47E54"/>
    <w:lvl w:ilvl="0" w:tplc="2FB0DF98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40CA407D"/>
    <w:multiLevelType w:val="hybridMultilevel"/>
    <w:tmpl w:val="C12410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32B1"/>
    <w:multiLevelType w:val="multilevel"/>
    <w:tmpl w:val="E1E6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54063"/>
    <w:multiLevelType w:val="hybridMultilevel"/>
    <w:tmpl w:val="C024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9"/>
    <w:rsid w:val="00016EF0"/>
    <w:rsid w:val="0003317A"/>
    <w:rsid w:val="00042042"/>
    <w:rsid w:val="000638D8"/>
    <w:rsid w:val="00074920"/>
    <w:rsid w:val="00083126"/>
    <w:rsid w:val="000B66AA"/>
    <w:rsid w:val="000C5CFD"/>
    <w:rsid w:val="00160980"/>
    <w:rsid w:val="001D3A62"/>
    <w:rsid w:val="001D7C03"/>
    <w:rsid w:val="001E3AC0"/>
    <w:rsid w:val="00205A28"/>
    <w:rsid w:val="002424ED"/>
    <w:rsid w:val="00245C27"/>
    <w:rsid w:val="002824ED"/>
    <w:rsid w:val="00296979"/>
    <w:rsid w:val="00296EC3"/>
    <w:rsid w:val="002D0ED0"/>
    <w:rsid w:val="00302BCF"/>
    <w:rsid w:val="00306750"/>
    <w:rsid w:val="00341CCD"/>
    <w:rsid w:val="0039767B"/>
    <w:rsid w:val="00397A89"/>
    <w:rsid w:val="003E7EC1"/>
    <w:rsid w:val="003F1E37"/>
    <w:rsid w:val="003F6791"/>
    <w:rsid w:val="004041C2"/>
    <w:rsid w:val="004166BE"/>
    <w:rsid w:val="00450BA2"/>
    <w:rsid w:val="004639A2"/>
    <w:rsid w:val="004D282E"/>
    <w:rsid w:val="0052350F"/>
    <w:rsid w:val="00541F9B"/>
    <w:rsid w:val="005671D6"/>
    <w:rsid w:val="00593495"/>
    <w:rsid w:val="005B3508"/>
    <w:rsid w:val="005F4DB2"/>
    <w:rsid w:val="0060491D"/>
    <w:rsid w:val="00630B5E"/>
    <w:rsid w:val="00656A44"/>
    <w:rsid w:val="006B089A"/>
    <w:rsid w:val="006E49C5"/>
    <w:rsid w:val="0075082F"/>
    <w:rsid w:val="007C51A8"/>
    <w:rsid w:val="008071C6"/>
    <w:rsid w:val="008320BA"/>
    <w:rsid w:val="008757DD"/>
    <w:rsid w:val="008E7558"/>
    <w:rsid w:val="008F331E"/>
    <w:rsid w:val="00910350"/>
    <w:rsid w:val="009427E5"/>
    <w:rsid w:val="00A22F78"/>
    <w:rsid w:val="00A32621"/>
    <w:rsid w:val="00A55078"/>
    <w:rsid w:val="00A93368"/>
    <w:rsid w:val="00AB5A25"/>
    <w:rsid w:val="00B10CDC"/>
    <w:rsid w:val="00B603A9"/>
    <w:rsid w:val="00B61BFE"/>
    <w:rsid w:val="00B71620"/>
    <w:rsid w:val="00B9190A"/>
    <w:rsid w:val="00B91A27"/>
    <w:rsid w:val="00BA4617"/>
    <w:rsid w:val="00BA5B5E"/>
    <w:rsid w:val="00BB3C7C"/>
    <w:rsid w:val="00BE383E"/>
    <w:rsid w:val="00BE6C43"/>
    <w:rsid w:val="00C24C56"/>
    <w:rsid w:val="00CA66EE"/>
    <w:rsid w:val="00D05C90"/>
    <w:rsid w:val="00D05FDD"/>
    <w:rsid w:val="00D42929"/>
    <w:rsid w:val="00D75F58"/>
    <w:rsid w:val="00E25DFE"/>
    <w:rsid w:val="00E3612F"/>
    <w:rsid w:val="00E96BB3"/>
    <w:rsid w:val="00E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042"/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420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507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F33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331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F3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31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6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B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042"/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420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507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F33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331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F3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31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6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B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B%D1%8B%D1%88_(%D0%B1%D0%BE%D0%BC%D0%B1%D0%B0)" TargetMode="External"/><Relationship Id="rId13" Type="http://schemas.openxmlformats.org/officeDocument/2006/relationships/hyperlink" Target="file:///D:\OU\680630\&#1087;&#1088;&#1080;&#1083;&#1086;&#1078;&#1077;&#1085;&#1080;&#1077;%203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OU\680630\&#1087;&#1088;&#1080;&#1083;&#1086;&#1078;&#1077;&#1085;&#1080;&#1077;%202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D:\OU\680630\&#1055;&#1088;&#1080;&#1083;&#1086;&#1078;&#1077;&#1085;&#1080;&#1077;%206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A%D1%82%D0%B8%D0%B2%D0%BD%D0%B0%D1%8F_%D0%B7%D0%BE%D0%BD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OU\680630\&#1087;&#1088;&#1080;&#1083;&#1086;&#1078;&#1077;&#1085;&#1080;&#1077;%205.docx" TargetMode="External"/><Relationship Id="rId10" Type="http://schemas.openxmlformats.org/officeDocument/2006/relationships/hyperlink" Target="https://ru.wikipedia.org/wiki/%D0%90%D0%B2%D0%B0%D1%80%D0%B8%D1%8F_%D0%BD%D0%B0_%D0%A7%D0%B5%D1%80%D0%BD%D0%BE%D0%B1%D1%8B%D0%BB%D1%8C%D1%81%D0%BA%D0%BE%D0%B9_%D0%90%D0%AD%D0%A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OU\680630\&#1087;&#1088;&#1080;&#1083;&#1086;&#1078;&#1077;&#1085;&#1080;&#1077;%201.docx" TargetMode="External"/><Relationship Id="rId14" Type="http://schemas.openxmlformats.org/officeDocument/2006/relationships/hyperlink" Target="file:///D:\OU\680630\&#1055;&#1088;&#1080;&#1083;&#1086;&#1078;&#1077;&#1085;&#1080;&#1077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5764</CharactersWithSpaces>
  <SharedDoc>false</SharedDoc>
  <HLinks>
    <vt:vector size="186" baseType="variant">
      <vt:variant>
        <vt:i4>6619192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https://ru.wikipedia.org/wiki/%D0%92%D0%B7%D1%80%D1%8B%D0%B2%D0%B0%D1%82%D0%B5%D0%BB%D1%8C</vt:lpwstr>
      </vt:variant>
      <vt:variant>
        <vt:lpwstr/>
      </vt:variant>
      <vt:variant>
        <vt:i4>7274506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https://ru.wikipedia.org/wiki/%D0%A0%D0%B0%D0%B4%D0%B8%D0%BE%D0%B0%D0%BA%D1%82%D0%B8%D0%B2%D0%BD%D0%BE%D0%B5_%D0%B7%D0%B0%D1%80%D0%B0%D0%B6%D0%B5%D0%BD%D0%B8%D0%B5</vt:lpwstr>
      </vt:variant>
      <vt:variant>
        <vt:lpwstr/>
      </vt:variant>
      <vt:variant>
        <vt:i4>7274604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https://ru.wikipedia.org/wiki/%D0%A6%D0%B5%D0%BF%D0%BD%D0%B0%D1%8F_%D1%8F%D0%B4%D0%B5%D1%80%D0%BD%D0%B0%D1%8F_%D1%80%D0%B5%D0%B0%D0%BA%D1%86%D0%B8%D1%8F</vt:lpwstr>
      </vt:variant>
      <vt:variant>
        <vt:lpwstr/>
      </vt:variant>
      <vt:variant>
        <vt:i4>3473498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https://ru.wikipedia.org/wiki/%D0%A2%D1%80%D0%BE%D1%82%D0%B8%D0%BB%D0%BE%D0%B2%D1%8B%D0%B9_%D1%8D%D0%BA%D0%B2%D0%B8%D0%B2%D0%B0%D0%BB%D0%B5%D0%BD%D1%82</vt:lpwstr>
      </vt:variant>
      <vt:variant>
        <vt:lpwstr/>
      </vt:variant>
      <vt:variant>
        <vt:i4>4784245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https://ru.wikipedia.org/wiki/%D0%94%D0%B5%D1%84%D0%B5%D0%BA%D1%82_%D0%BC%D0%B0%D1%81%D1%81%D1%8B</vt:lpwstr>
      </vt:variant>
      <vt:variant>
        <vt:lpwstr/>
      </vt:variant>
      <vt:variant>
        <vt:i4>4063315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https://ru.wikipedia.org/wiki/%D0%AF%D0%B4%D0%B5%D1%80%D0%BD%D0%B0%D1%8F_%D1%80%D0%B5%D0%B0%D0%BA%D1%86%D0%B8%D1%8F</vt:lpwstr>
      </vt:variant>
      <vt:variant>
        <vt:lpwstr/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https://ru.wikipedia.org/wiki/%D0%AF%D0%B4%D0%B5%D1%80%D0%BD%D1%8B%D0%B9_%D0%B2%D0%B7%D1%80%D1%8B%D0%B2</vt:lpwstr>
      </vt:variant>
      <vt:variant>
        <vt:lpwstr/>
      </vt:variant>
      <vt:variant>
        <vt:i4>1835087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https://ru.wikipedia.org/wiki/%D0%9D%D0%B5%D0%B9%D1%82%D1%80%D0%BE%D0%BD</vt:lpwstr>
      </vt:variant>
      <vt:variant>
        <vt:lpwstr/>
      </vt:variant>
      <vt:variant>
        <vt:i4>4587644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https://ru.wikipedia.org/wiki/%D0%9A%D0%B0%D1%80%D0%B1%D0%B8%D0%B4_%D0%B2%D0%BE%D0%BB%D1%8C%D1%84%D1%80%D0%B0%D0%BC%D0%B0</vt:lpwstr>
      </vt:variant>
      <vt:variant>
        <vt:lpwstr/>
      </vt:variant>
      <vt:variant>
        <vt:i4>3211360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https://ru.wikipedia.org/wiki/%D0%A1%D0%BD%D0%B0%D1%80%D1%8F%D0%B4</vt:lpwstr>
      </vt:variant>
      <vt:variant>
        <vt:lpwstr/>
      </vt:variant>
      <vt:variant>
        <vt:i4>1310799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https://ru.wikipedia.org/wiki/%D0%9F%D0%BE%D1%80%D0%BE%D1%85</vt:lpwstr>
      </vt:variant>
      <vt:variant>
        <vt:lpwstr/>
      </vt:variant>
      <vt:variant>
        <vt:i4>3932216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https://ru.wikipedia.org/wiki/%D0%9A%D0%BE%D1%80%D0%B4%D0%B8%D1%82</vt:lpwstr>
      </vt:variant>
      <vt:variant>
        <vt:lpwstr/>
      </vt:variant>
      <vt:variant>
        <vt:i4>1441871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https://ru.wikipedia.org/wiki/%D0%9F%D0%BE%D0%BB%D0%BE%D0%BD%D0%B8%D0%B9</vt:lpwstr>
      </vt:variant>
      <vt:variant>
        <vt:lpwstr/>
      </vt:variant>
      <vt:variant>
        <vt:i4>3866723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https://ru.wikipedia.org/wiki/%D0%91%D0%B5%D1%80%D0%B8%D0%BB%D0%BB%D0%B8%D0%B9</vt:lpwstr>
      </vt:variant>
      <vt:variant>
        <vt:lpwstr/>
      </vt:variant>
      <vt:variant>
        <vt:i4>3539043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https://ru.wikipedia.org/wiki/%D0%94%D1%83%D0%BB%D0%BE</vt:lpwstr>
      </vt:variant>
      <vt:variant>
        <vt:lpwstr/>
      </vt:variant>
      <vt:variant>
        <vt:i4>7274604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https://ru.wikipedia.org/wiki/%D0%A6%D0%B5%D0%BF%D0%BD%D0%B0%D1%8F_%D1%8F%D0%B4%D0%B5%D1%80%D0%BD%D0%B0%D1%8F_%D1%80%D0%B5%D0%B0%D0%BA%D1%86%D0%B8%D1%8F</vt:lpwstr>
      </vt:variant>
      <vt:variant>
        <vt:lpwstr/>
      </vt:variant>
      <vt:variant>
        <vt:i4>6750297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https://ru.wikipedia.org/wiki/%D0%9A%D1%80%D0%B8%D1%82%D0%B8%D1%87%D0%B5%D1%81%D0%BA%D0%B0%D1%8F_%D0%BC%D0%B0%D1%81%D1%81%D0%B0</vt:lpwstr>
      </vt:variant>
      <vt:variant>
        <vt:lpwstr/>
      </vt:variant>
      <vt:variant>
        <vt:i4>3997797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https://ru.wikipedia.org/wiki/%D0%9A%D0%BE%D1%8D%D1%84%D1%84%D0%B8%D1%86%D0%B8%D0%B5%D0%BD%D1%82_%D0%BF%D0%BE%D0%BB%D0%B5%D0%B7%D0%BD%D0%BE%D0%B3%D0%BE_%D0%B4%D0%B5%D0%B9%D1%81%D1%82%D0%B2%D0%B8%D1%8F</vt:lpwstr>
      </vt:variant>
      <vt:variant>
        <vt:lpwstr/>
      </vt:variant>
      <vt:variant>
        <vt:i4>6881294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https://ru.wikipedia.org/wiki/%D0%93%D0%BE%D1%81%D1%83%D0%B4%D0%B0%D1%80%D1%81%D1%82%D0%B2%D0%B5%D0%BD%D0%BD%D0%B0%D1%8F_%D1%82%D0%B0%D0%B9%D0%BD%D0%B0</vt:lpwstr>
      </vt:variant>
      <vt:variant>
        <vt:lpwstr/>
      </vt:variant>
      <vt:variant>
        <vt:i4>4325448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https://ru.wikipedia.org/wiki/%D0%9D%D0%B0%D0%B4%D1%91%D0%B6%D0%BD%D0%BE%D1%81%D1%82%D1%8C_(%D0%B2%D0%BE%D0%B5%D0%BD%D0%BD%D0%BE%D0%B5_%D0%B4%D0%B5%D0%BB%D0%BE)</vt:lpwstr>
      </vt:variant>
      <vt:variant>
        <vt:lpwstr/>
      </vt:variant>
      <vt:variant>
        <vt:i4>5177368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https://ru.wikipedia.org/wiki/%D0%AF%D0%B4%D0%B5%D1%80%D0%BD%D0%B0%D1%8F_%D0%B1%D0%BE%D0%BC%D0%B1%D0%B0</vt:lpwstr>
      </vt:variant>
      <vt:variant>
        <vt:lpwstr>%D0%9F%D1%83%D1%88%D0%B5%D1%87%D0%BD%D0%B0%D1%8F_%D1%81%D1%85%D0%B5%D0%BC%D0%B0</vt:lpwstr>
      </vt:variant>
      <vt:variant>
        <vt:i4>6684724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https://ru.wikipedia.org/wiki/%D0%AF%D0%B4%D0%B5%D1%80%D0%BD%D0%B0%D1%8F_%D0%B1%D0%BE%D0%BC%D0%B1%D0%B0</vt:lpwstr>
      </vt:variant>
      <vt:variant>
        <vt:lpwstr>%D0%98%D0%BC%D0%BF%D0%BB%D0%BE%D0%B7%D0%B8%D0%B2%D0%BD%D0%B0%D1%8F_%D1%81%D1%85%D0%B5%D0%BC%D0%B0</vt:lpwstr>
      </vt:variant>
      <vt:variant>
        <vt:i4>6553699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https://ru.wikipedia.org/wiki/%D0%9A%D0%BE%D0%BB%D0%BE%D1%80%D0%B0%D0%B4%D0%BE</vt:lpwstr>
      </vt:variant>
      <vt:variant>
        <vt:lpwstr/>
      </vt:variant>
      <vt:variant>
        <vt:i4>6684729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https://ru.wikipedia.org/wiki/%D0%91%D0%BE%D0%BB%D1%8C%D1%88%D0%BE%D0%B5_%D0%9C%D0%B5%D0%B4%D0%B2%D0%B5%D0%B6%D1%8C%D0%B5_%D0%BE%D0%B7%D0%B5%D1%80%D0%BE</vt:lpwstr>
      </vt:variant>
      <vt:variant>
        <vt:lpwstr/>
      </vt:variant>
      <vt:variant>
        <vt:i4>3604536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https://ru.wikipedia.org/wiki/%D0%9A%D0%B0%D0%BD%D0%B0%D0%B4%D0%B0</vt:lpwstr>
      </vt:variant>
      <vt:variant>
        <vt:lpwstr/>
      </vt:variant>
      <vt:variant>
        <vt:i4>3407932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https://ru.wikipedia.org/wiki/%D0%94%D0%B5%D0%BC%D0%BE%D0%BA%D1%80%D0%B0%D1%82%D0%B8%D1%87%D0%B5%D1%81%D0%BA%D0%B0%D1%8F_%D0%A0%D0%B5%D1%81%D0%BF%D1%83%D0%B1%D0%BB%D0%B8%D0%BA%D0%B0_%D0%9A%D0%BE%D0%BD%D0%B3%D0%BE</vt:lpwstr>
      </vt:variant>
      <vt:variant>
        <vt:lpwstr/>
      </vt:variant>
      <vt:variant>
        <vt:i4>7077890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https://ru.wikipedia.org/wiki/%D0%91%D0%B5%D0%BB%D1%8C%D0%B3%D0%B8%D0%B9%D1%81%D0%BA%D0%BE%D0%B5_%D0%9A%D0%BE%D0%BD%D0%B3%D0%BE</vt:lpwstr>
      </vt:variant>
      <vt:variant>
        <vt:lpwstr/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https://ru.wikipedia.org/wiki/%D0%9C%D0%B5%D1%82%D1%80</vt:lpwstr>
      </vt:variant>
      <vt:variant>
        <vt:lpwstr/>
      </vt:variant>
      <vt:variant>
        <vt:i4>7143505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https://ru.wikipedia.org/wiki/%D0%90%D0%BA%D1%82%D0%B8%D0%B2%D0%BD%D0%B0%D1%8F_%D0%B7%D0%BE%D0%BD%D0%B0</vt:lpwstr>
      </vt:variant>
      <vt:variant>
        <vt:lpwstr/>
      </vt:variant>
      <vt:variant>
        <vt:i4>3473421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https://ru.wikipedia.org/wiki/%D0%90%D0%B2%D0%B0%D1%80%D0%B8%D1%8F_%D0%BD%D0%B0_%D0%A7%D0%B5%D1%80%D0%BD%D0%BE%D0%B1%D1%8B%D0%BB%D1%8C%D1%81%D0%BA%D0%BE%D0%B9_%D0%90%D0%AD%D0%A1</vt:lpwstr>
      </vt:variant>
      <vt:variant>
        <vt:lpwstr/>
      </vt:variant>
      <vt:variant>
        <vt:i4>4391015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https://ru.wikipedia.org/wiki/%D0%9C%D0%B0%D0%BB%D1%8B%D1%88_(%D0%B1%D0%BE%D0%BC%D0%B1%D0%B0)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Надежда</cp:lastModifiedBy>
  <cp:revision>2</cp:revision>
  <cp:lastPrinted>2019-05-13T15:02:00Z</cp:lastPrinted>
  <dcterms:created xsi:type="dcterms:W3CDTF">2020-03-30T08:00:00Z</dcterms:created>
  <dcterms:modified xsi:type="dcterms:W3CDTF">2020-03-30T08:00:00Z</dcterms:modified>
</cp:coreProperties>
</file>