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9" w:rsidRPr="008F7E4C" w:rsidRDefault="009C7A59" w:rsidP="009C7A59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8F7E4C">
        <w:rPr>
          <w:b/>
          <w:color w:val="000000"/>
        </w:rPr>
        <w:t>Конспект учебного занятия</w:t>
      </w:r>
    </w:p>
    <w:p w:rsidR="009C7A59" w:rsidRPr="00E86FDA" w:rsidRDefault="009C7A59" w:rsidP="009C7A59">
      <w:pPr>
        <w:pStyle w:val="a4"/>
        <w:spacing w:before="0" w:beforeAutospacing="0" w:after="0" w:afterAutospacing="0"/>
        <w:jc w:val="center"/>
        <w:rPr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59"/>
        <w:gridCol w:w="2730"/>
        <w:gridCol w:w="2378"/>
        <w:gridCol w:w="2304"/>
      </w:tblGrid>
      <w:tr w:rsidR="009C7A59" w:rsidRPr="00E86FDA" w:rsidTr="00255D13">
        <w:tc>
          <w:tcPr>
            <w:tcW w:w="2392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>Этап занятия</w:t>
            </w:r>
          </w:p>
        </w:tc>
        <w:tc>
          <w:tcPr>
            <w:tcW w:w="5513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>Деятельность педагога</w:t>
            </w:r>
          </w:p>
        </w:tc>
        <w:tc>
          <w:tcPr>
            <w:tcW w:w="3543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>Деятельность детей</w:t>
            </w:r>
          </w:p>
        </w:tc>
        <w:tc>
          <w:tcPr>
            <w:tcW w:w="2977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>Примечание</w:t>
            </w:r>
          </w:p>
        </w:tc>
      </w:tr>
      <w:tr w:rsidR="009C7A59" w:rsidRPr="00E86FDA" w:rsidTr="00255D13">
        <w:tc>
          <w:tcPr>
            <w:tcW w:w="2392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bookmarkStart w:id="0" w:name="_GoBack"/>
            <w:bookmarkEnd w:id="0"/>
            <w:r w:rsidRPr="00E86FDA">
              <w:t>Организационный этап</w:t>
            </w:r>
          </w:p>
        </w:tc>
        <w:tc>
          <w:tcPr>
            <w:tcW w:w="5513" w:type="dxa"/>
          </w:tcPr>
          <w:p w:rsidR="009C7A59" w:rsidRPr="00E86FDA" w:rsidRDefault="009C7A5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 учащимся разделится на группы</w:t>
            </w:r>
            <w:proofErr w:type="gramStart"/>
            <w:r w:rsidRPr="00E86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аждая группа будет создавать свой проект построения  жилого дома, устраивающий заказчика.</w:t>
            </w:r>
          </w:p>
        </w:tc>
        <w:tc>
          <w:tcPr>
            <w:tcW w:w="3543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t xml:space="preserve">Ребята произвольным образом разбиваются на 3 группы по 4-5 человек в каждой и садятся за отдельными столами.  </w:t>
            </w:r>
          </w:p>
        </w:tc>
        <w:tc>
          <w:tcPr>
            <w:tcW w:w="2977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C7A59" w:rsidRPr="00E86FDA" w:rsidTr="00255D13">
        <w:tc>
          <w:tcPr>
            <w:tcW w:w="2392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t>Постановка формируемых результатов и задач занятия. Мотивация учебной деятельности учащихся</w:t>
            </w:r>
          </w:p>
        </w:tc>
        <w:tc>
          <w:tcPr>
            <w:tcW w:w="5513" w:type="dxa"/>
          </w:tcPr>
          <w:p w:rsidR="009C7A59" w:rsidRPr="00E86FDA" w:rsidRDefault="009C7A5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Зачем нужна математика при строительстве дома?</w:t>
            </w:r>
          </w:p>
          <w:p w:rsidR="009C7A59" w:rsidRPr="00E86FDA" w:rsidRDefault="009C7A5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proofErr w:type="gramEnd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 xml:space="preserve"> каких профессий участвуют в процессе создания дома? Нужна ли им математика? Зачем? </w:t>
            </w:r>
          </w:p>
        </w:tc>
        <w:tc>
          <w:tcPr>
            <w:tcW w:w="3543" w:type="dxa"/>
          </w:tcPr>
          <w:p w:rsidR="009C7A59" w:rsidRPr="00E86FDA" w:rsidRDefault="009C7A5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2977" w:type="dxa"/>
          </w:tcPr>
          <w:p w:rsidR="009C7A59" w:rsidRPr="00E86FDA" w:rsidRDefault="009C7A5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59" w:rsidRPr="00E86FDA" w:rsidTr="00255D13">
        <w:tc>
          <w:tcPr>
            <w:tcW w:w="2392" w:type="dxa"/>
          </w:tcPr>
          <w:p w:rsidR="009C7A59" w:rsidRPr="00E86FDA" w:rsidRDefault="009C7A59" w:rsidP="00255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разминка</w:t>
            </w:r>
          </w:p>
        </w:tc>
        <w:tc>
          <w:tcPr>
            <w:tcW w:w="5513" w:type="dxa"/>
          </w:tcPr>
          <w:p w:rsidR="009C7A59" w:rsidRPr="00E86FDA" w:rsidRDefault="009C7A59" w:rsidP="00255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ребятам задачу: </w:t>
            </w:r>
            <w:proofErr w:type="gramStart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Семеро молодых семей решили</w:t>
            </w:r>
            <w:proofErr w:type="gramEnd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 xml:space="preserve"> в складчину приобрести участок земли для постройки дома. Но их сре</w:t>
            </w:r>
            <w:proofErr w:type="gramStart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дств хв</w:t>
            </w:r>
            <w:proofErr w:type="gramEnd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 xml:space="preserve">атило только на площадь, на которой можно разместить одну квартиру. </w:t>
            </w:r>
            <w:proofErr w:type="spellStart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Придѐтся</w:t>
            </w:r>
            <w:proofErr w:type="spellEnd"/>
            <w:r w:rsidRPr="00E86FDA">
              <w:rPr>
                <w:rFonts w:ascii="Times New Roman" w:hAnsi="Times New Roman" w:cs="Times New Roman"/>
                <w:sz w:val="24"/>
                <w:szCs w:val="24"/>
              </w:rPr>
              <w:t xml:space="preserve"> ли им отказаться от намерения иметь отдельные квартиры? Или есть выход?</w:t>
            </w:r>
          </w:p>
        </w:tc>
        <w:tc>
          <w:tcPr>
            <w:tcW w:w="3543" w:type="dxa"/>
          </w:tcPr>
          <w:p w:rsidR="009C7A59" w:rsidRPr="00E86FDA" w:rsidRDefault="009C7A59" w:rsidP="009C7A59">
            <w:pPr>
              <w:rPr>
                <w:color w:val="000000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Решение: построить семиэтажный дом. Можно и заработать. Построить более высокий дом, а лишние квартиры продать.</w:t>
            </w:r>
          </w:p>
        </w:tc>
        <w:tc>
          <w:tcPr>
            <w:tcW w:w="2977" w:type="dxa"/>
          </w:tcPr>
          <w:p w:rsidR="009C7A59" w:rsidRPr="00E86FDA" w:rsidRDefault="009C7A59" w:rsidP="009C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Задание на принцип перехода в другое измерение. Если тесно на линии, можно занять площадь. Если не хватает площади, можно занять объем.</w:t>
            </w:r>
          </w:p>
        </w:tc>
      </w:tr>
      <w:tr w:rsidR="009C7A59" w:rsidRPr="00E86FDA" w:rsidTr="00255D13">
        <w:tc>
          <w:tcPr>
            <w:tcW w:w="2392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t>Актуализация знаний</w:t>
            </w:r>
          </w:p>
        </w:tc>
        <w:tc>
          <w:tcPr>
            <w:tcW w:w="5513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>Предлагает ребятам в группе обсудить то, каким может быть дом в зависимости от расположения, проживания, материала и т.п., помогает  учащимся в процессе эвристической беседы оценить рынок жилья и спрогнозировать будущий спрос. Какой он, дом будущего?</w:t>
            </w: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lastRenderedPageBreak/>
              <w:t xml:space="preserve">Например, в некоторых странах появился спрос на узкие дома, мини-домики, дом-бочка и </w:t>
            </w:r>
            <w:proofErr w:type="spellStart"/>
            <w:r w:rsidRPr="00E86FDA">
              <w:rPr>
                <w:color w:val="000000"/>
              </w:rPr>
              <w:t>т.п</w:t>
            </w:r>
            <w:proofErr w:type="spellEnd"/>
            <w:proofErr w:type="gramStart"/>
            <w:r w:rsidRPr="00E86FDA">
              <w:rPr>
                <w:color w:val="000000"/>
              </w:rPr>
              <w:t xml:space="preserve"> .</w:t>
            </w:r>
            <w:proofErr w:type="gramEnd"/>
            <w:r w:rsidRPr="00E86FDA">
              <w:rPr>
                <w:color w:val="000000"/>
              </w:rPr>
              <w:t xml:space="preserve"> </w:t>
            </w: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>Демонстрирует презентацию с изображениями необычных домов, построенных на «свободном клочке земли»</w:t>
            </w:r>
          </w:p>
        </w:tc>
        <w:tc>
          <w:tcPr>
            <w:tcW w:w="3543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lastRenderedPageBreak/>
              <w:t>Составляют морфологический ящик, обсуждают получившиеся варианты и выбирают наиболее понравившиеся, учитывая ограниченность собственных ресурсов</w:t>
            </w: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 xml:space="preserve">Смотрят, обсуждают </w:t>
            </w: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>Обсуждают, что необходимо для постройки дома</w:t>
            </w:r>
          </w:p>
        </w:tc>
        <w:tc>
          <w:tcPr>
            <w:tcW w:w="2977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lastRenderedPageBreak/>
              <w:t xml:space="preserve">Морфологический анализ </w:t>
            </w:r>
            <w:proofErr w:type="gramStart"/>
            <w:r w:rsidRPr="00E86FDA">
              <w:rPr>
                <w:color w:val="000000"/>
              </w:rPr>
              <w:t xml:space="preserve">( </w:t>
            </w:r>
            <w:proofErr w:type="gramEnd"/>
            <w:r w:rsidRPr="00E86FDA">
              <w:rPr>
                <w:color w:val="000000"/>
              </w:rPr>
              <w:t>Приложение 1)</w:t>
            </w: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t>Задание на принцип перехода в другое измерение.</w:t>
            </w:r>
          </w:p>
        </w:tc>
      </w:tr>
      <w:tr w:rsidR="009C7A59" w:rsidRPr="00E86FDA" w:rsidTr="00255D13">
        <w:tc>
          <w:tcPr>
            <w:tcW w:w="2392" w:type="dxa"/>
            <w:vMerge w:val="restart"/>
          </w:tcPr>
          <w:p w:rsidR="009C7A59" w:rsidRPr="00E86FDA" w:rsidRDefault="009C7A59" w:rsidP="00255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Обобщение</w:t>
            </w:r>
          </w:p>
          <w:p w:rsidR="009C7A59" w:rsidRPr="00E86FDA" w:rsidRDefault="009C7A59" w:rsidP="00255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и систематизация знаний (применение известного материала на практике)</w:t>
            </w:r>
          </w:p>
        </w:tc>
        <w:tc>
          <w:tcPr>
            <w:tcW w:w="12033" w:type="dxa"/>
            <w:gridSpan w:val="3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>До начала строительства индивидуального дома следует разработать проектную документацию. Она должна содержать все конструктивные и планировочные решения, включая расчеты по устойчивости и прочности воздвигаемого здания, а также его сметной стоимости. На основании проектной части составляются рабочие чертежи. Они служат исполнительной документацией, используются на этапе приема-сдачи готового объекта строительства.</w:t>
            </w:r>
          </w:p>
        </w:tc>
      </w:tr>
      <w:tr w:rsidR="009C7A59" w:rsidRPr="00E86FDA" w:rsidTr="00255D13">
        <w:tc>
          <w:tcPr>
            <w:tcW w:w="2392" w:type="dxa"/>
            <w:vMerge/>
          </w:tcPr>
          <w:p w:rsidR="009C7A59" w:rsidRPr="00E86FDA" w:rsidRDefault="009C7A59" w:rsidP="00255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3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>Предлагает учащимся задачи математического характера:1) направленные на выбор варианта (расчет сметной стоимости материалов, выбор поставщика); 2) на логистику, выбор пути;3) задачи на логику</w:t>
            </w: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>Предлагает учащимся задачи практического содержания 1) задачи на замощение плоскости (планирование внутренних помещений);  2) лесенка – безопасность и экономия пространства 3) внутренний дизайн – основа комфорта (геометрические иллюзии)</w:t>
            </w: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>Педагог дает учащимся необходимые теоретические знания, выдает материалы</w:t>
            </w:r>
          </w:p>
        </w:tc>
        <w:tc>
          <w:tcPr>
            <w:tcW w:w="3543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 xml:space="preserve">Решают </w:t>
            </w:r>
            <w:proofErr w:type="gramStart"/>
            <w:r w:rsidRPr="00E86FDA">
              <w:rPr>
                <w:color w:val="000000"/>
              </w:rPr>
              <w:t>задачи</w:t>
            </w:r>
            <w:proofErr w:type="gramEnd"/>
            <w:r w:rsidRPr="00E86FDA">
              <w:rPr>
                <w:color w:val="000000"/>
              </w:rPr>
              <w:t xml:space="preserve"> объясняют свой выбор</w:t>
            </w:r>
          </w:p>
          <w:p w:rsidR="009C7A59" w:rsidRPr="00E86FDA" w:rsidRDefault="009C7A5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Работа ведется по группам,  чей путь окажется короче – победят.</w:t>
            </w:r>
          </w:p>
          <w:p w:rsidR="009C7A59" w:rsidRPr="00E86FDA" w:rsidRDefault="009C7A5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59" w:rsidRPr="00E86FDA" w:rsidRDefault="009C7A5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59" w:rsidRPr="00E86FDA" w:rsidRDefault="009C7A5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59" w:rsidRPr="00E86FDA" w:rsidRDefault="009C7A5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59" w:rsidRPr="00E86FDA" w:rsidRDefault="009C7A5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59" w:rsidRPr="00E86FDA" w:rsidRDefault="009C7A5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59" w:rsidRPr="00E86FDA" w:rsidRDefault="009C7A5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59" w:rsidRPr="00E86FDA" w:rsidRDefault="009C7A59" w:rsidP="0025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Находят решение в процессе эксперимента, перебора подходящих вариантов</w:t>
            </w:r>
          </w:p>
        </w:tc>
        <w:tc>
          <w:tcPr>
            <w:tcW w:w="2977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>Задачи, выдаваемые группе, выбираются из заранее подобранного банка (Приложение 2)</w:t>
            </w: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</w:pP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</w:pP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</w:pPr>
            <w:r w:rsidRPr="00E86FDA">
              <w:t>Для решения используется  морфологический анализ Обратный мозговой штурм</w:t>
            </w: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</w:pPr>
          </w:p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t>(Приложение 3) метод контрольных и наводящих вопросов</w:t>
            </w:r>
          </w:p>
        </w:tc>
      </w:tr>
      <w:tr w:rsidR="009C7A59" w:rsidRPr="00E86FDA" w:rsidTr="00255D13">
        <w:tc>
          <w:tcPr>
            <w:tcW w:w="2392" w:type="dxa"/>
          </w:tcPr>
          <w:p w:rsidR="009C7A59" w:rsidRPr="00E86FDA" w:rsidRDefault="009C7A59" w:rsidP="00255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6. Контроль</w:t>
            </w:r>
          </w:p>
          <w:p w:rsidR="009C7A59" w:rsidRPr="00E86FDA" w:rsidRDefault="009C7A59" w:rsidP="00255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 xml:space="preserve">и коррекция </w:t>
            </w:r>
            <w:r w:rsidRPr="00E86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5513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lastRenderedPageBreak/>
              <w:t xml:space="preserve">Демонстрирует учащимся несколько слайдов с ошибками, допущенными при </w:t>
            </w:r>
            <w:r w:rsidRPr="00E86FDA">
              <w:rPr>
                <w:color w:val="000000"/>
              </w:rPr>
              <w:lastRenderedPageBreak/>
              <w:t>изначальном планировании, строительстве, дизайне</w:t>
            </w:r>
          </w:p>
        </w:tc>
        <w:tc>
          <w:tcPr>
            <w:tcW w:w="3543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lastRenderedPageBreak/>
              <w:t xml:space="preserve">Смотрят, обсуждают, пытаются найти пути решения </w:t>
            </w:r>
            <w:r w:rsidRPr="00E86FDA">
              <w:rPr>
                <w:color w:val="000000"/>
              </w:rPr>
              <w:lastRenderedPageBreak/>
              <w:t>проблемы</w:t>
            </w:r>
          </w:p>
        </w:tc>
        <w:tc>
          <w:tcPr>
            <w:tcW w:w="2977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C7A59" w:rsidRPr="00E86FDA" w:rsidTr="00255D13">
        <w:tc>
          <w:tcPr>
            <w:tcW w:w="2392" w:type="dxa"/>
          </w:tcPr>
          <w:p w:rsidR="009C7A59" w:rsidRPr="00E86FDA" w:rsidRDefault="009C7A59" w:rsidP="00255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  <w:p w:rsidR="009C7A59" w:rsidRPr="00E86FDA" w:rsidRDefault="009C7A59" w:rsidP="00255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учебной деятельности</w:t>
            </w:r>
          </w:p>
        </w:tc>
        <w:tc>
          <w:tcPr>
            <w:tcW w:w="5513" w:type="dxa"/>
          </w:tcPr>
          <w:p w:rsidR="009C7A59" w:rsidRPr="00E86FDA" w:rsidRDefault="009C7A59" w:rsidP="009C7A5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сегодняшнем занятии я понял, я узнал, я разобрался…»;</w:t>
            </w:r>
          </w:p>
          <w:p w:rsidR="009C7A59" w:rsidRPr="00E86FDA" w:rsidRDefault="009C7A59" w:rsidP="009C7A5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«Особенно мне понравилось…»;</w:t>
            </w:r>
          </w:p>
          <w:p w:rsidR="009C7A59" w:rsidRPr="00E86FDA" w:rsidRDefault="009C7A59" w:rsidP="009C7A5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«После занятия мне захотелось…»;</w:t>
            </w:r>
          </w:p>
          <w:p w:rsidR="009C7A59" w:rsidRPr="00E86FDA" w:rsidRDefault="009C7A59" w:rsidP="009C7A5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«Сегодня мне удалось…»;</w:t>
            </w:r>
          </w:p>
          <w:p w:rsidR="009C7A59" w:rsidRPr="00E86FDA" w:rsidRDefault="009C7A59" w:rsidP="009C7A5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«Было интересно…»;</w:t>
            </w:r>
          </w:p>
          <w:p w:rsidR="009C7A59" w:rsidRPr="00E86FDA" w:rsidRDefault="009C7A59" w:rsidP="009C7A5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«Было трудно…»;</w:t>
            </w:r>
          </w:p>
          <w:p w:rsidR="009C7A59" w:rsidRPr="00E86FDA" w:rsidRDefault="009C7A59" w:rsidP="009C7A5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понял, что…»;</w:t>
            </w:r>
          </w:p>
          <w:p w:rsidR="009C7A59" w:rsidRPr="00E86FDA" w:rsidRDefault="009C7A59" w:rsidP="009C7A5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«Теперь я могу…»;</w:t>
            </w:r>
          </w:p>
        </w:tc>
        <w:tc>
          <w:tcPr>
            <w:tcW w:w="3543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>Дополняют, заканчивают выбранное предложение</w:t>
            </w:r>
          </w:p>
        </w:tc>
        <w:tc>
          <w:tcPr>
            <w:tcW w:w="2977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>Метод незаконченных предложений</w:t>
            </w:r>
          </w:p>
        </w:tc>
      </w:tr>
      <w:tr w:rsidR="009C7A59" w:rsidRPr="00E86FDA" w:rsidTr="00255D13">
        <w:tc>
          <w:tcPr>
            <w:tcW w:w="2392" w:type="dxa"/>
          </w:tcPr>
          <w:p w:rsidR="009C7A59" w:rsidRPr="00E86FDA" w:rsidRDefault="009C7A59" w:rsidP="00255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A"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5513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86FDA">
              <w:rPr>
                <w:color w:val="000000"/>
              </w:rPr>
              <w:t>Нарисовать свой дом идею</w:t>
            </w:r>
          </w:p>
        </w:tc>
        <w:tc>
          <w:tcPr>
            <w:tcW w:w="3543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977" w:type="dxa"/>
          </w:tcPr>
          <w:p w:rsidR="009C7A59" w:rsidRPr="00E86FDA" w:rsidRDefault="009C7A59" w:rsidP="00255D13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C6658"/>
    <w:multiLevelType w:val="multilevel"/>
    <w:tmpl w:val="2D4C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59"/>
    <w:rsid w:val="009C7A59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5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  <w:rPr>
      <w:rFonts w:ascii="Calibri" w:eastAsia="Calibri" w:hAnsi="Calibri"/>
    </w:rPr>
  </w:style>
  <w:style w:type="paragraph" w:styleId="a4">
    <w:name w:val="Normal (Web)"/>
    <w:basedOn w:val="a"/>
    <w:uiPriority w:val="99"/>
    <w:unhideWhenUsed/>
    <w:rsid w:val="009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C7A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5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  <w:rPr>
      <w:rFonts w:ascii="Calibri" w:eastAsia="Calibri" w:hAnsi="Calibri"/>
    </w:rPr>
  </w:style>
  <w:style w:type="paragraph" w:styleId="a4">
    <w:name w:val="Normal (Web)"/>
    <w:basedOn w:val="a"/>
    <w:uiPriority w:val="99"/>
    <w:unhideWhenUsed/>
    <w:rsid w:val="009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C7A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2020-06-03T09:42:00Z</dcterms:created>
  <dcterms:modified xsi:type="dcterms:W3CDTF">2020-06-03T09:43:00Z</dcterms:modified>
</cp:coreProperties>
</file>