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B9" w:rsidRDefault="001528B9" w:rsidP="001528B9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528B9">
        <w:rPr>
          <w:rFonts w:eastAsia="Times New Roman" w:cs="Times New Roman"/>
          <w:b/>
          <w:bCs/>
          <w:sz w:val="24"/>
          <w:szCs w:val="24"/>
          <w:lang w:eastAsia="ru-RU"/>
        </w:rPr>
        <w:t>Этап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bookmarkStart w:id="0" w:name="_GoBack"/>
      <w:bookmarkEnd w:id="0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1528B9">
        <w:rPr>
          <w:rFonts w:eastAsia="Times New Roman" w:cs="Times New Roman"/>
          <w:b/>
          <w:bCs/>
          <w:sz w:val="24"/>
          <w:szCs w:val="24"/>
          <w:lang w:eastAsia="ru-RU"/>
        </w:rPr>
        <w:t>урока</w:t>
      </w:r>
    </w:p>
    <w:p w:rsidR="001528B9" w:rsidRPr="001528B9" w:rsidRDefault="001528B9" w:rsidP="001528B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735" w:type="dxa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2"/>
        <w:gridCol w:w="2128"/>
        <w:gridCol w:w="4181"/>
        <w:gridCol w:w="1937"/>
        <w:gridCol w:w="1996"/>
        <w:gridCol w:w="3191"/>
      </w:tblGrid>
      <w:tr w:rsidR="001528B9" w:rsidRPr="001528B9" w:rsidTr="001528B9">
        <w:trPr>
          <w:trHeight w:val="1665"/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24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24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взаимодействия с учащимися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1528B9" w:rsidRPr="001528B9" w:rsidTr="001528B9">
        <w:trPr>
          <w:trHeight w:val="4185"/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Мотивации (самоопределения) к коррекционной деятельности.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 Проверка готовности обу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чающихся, их настроя на работу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1</w:t>
            </w:r>
            <w:r w:rsidRPr="001528B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 урок зовет звонок,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Математики урок.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Мы примеры обожаем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И задачи вмиг решаем.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-Мы с вами поприветствовали друг друга и наших гостей. Подарите всем свои улыбки. Начинаем урок. Садитесь.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-Откройте тетради, запишите число, классная работа.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Следим за положением тетради, правильно держим ручку.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 красиво сидит…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-Какая ровная спинка…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Приветствует обучающихся, 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роверяет их готовность к уроку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Напоминает правило.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Приветствуют учителя, друг друга.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Принимают участие в диалоге.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Проверяют свою готовность к уроку.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Записывают число и классная работа.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-нацеливание на успешную деятельность.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выражать положительное отношение к процессу познания, проявлять желание проявлять новое.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формирование умения слушать и слышать.</w:t>
            </w:r>
          </w:p>
        </w:tc>
      </w:tr>
      <w:tr w:rsidR="001528B9" w:rsidRPr="001528B9" w:rsidTr="001528B9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hd w:val="clear" w:color="auto" w:fill="FFFFFF"/>
              <w:spacing w:before="102" w:after="102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Актуализац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ии и пробного учебного действия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Закрепить полученные знания, вспомнить тему прошлого урока.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Устный счёт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-Ребята, посмотрите на доску.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Задание 1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2: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1.Увеличь в 4 раза числа на слайде. Запишите только ответы в строчку через запятую.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-Выполняем проверку. Посмотрите на доску. Проверьте.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2: (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 щелчку мыши анимация выводит ответы к примерам)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-Кто не допустил ошибки?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Задание 2.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3: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-Уменьши числа на слайде в 7 раз. Запиши только ответы в строчку через запятую.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-Выполняем проверку. Посмотрите на доску. Проверьте.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3: (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 щелчку мыши анимация выводит ответы к примерам)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Кто не допустил ошибки?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Задание 3.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Запиши только результаты результат: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Частное чисел 24 и 4.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Произведение чисел 5 и 2.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-Частное чисел 30 3.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Сумму чисел 54 и 16.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Разность чисел 62 и 18.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-Частное чисел 18 и 3.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-Выполняем проверку. Посмотрите на доску. Проверьте.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Слайд 4: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-Кто не допустил ошибки в третьем задании?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Кто не допустил ошибки во всех заданиях устного счета?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Организует диалог с учащимися, задает вопросы.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Формулируют задание.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Находят значения выражений. Записывают полученные результаты.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Проверяют по эталону. Выполняют самопровнерку.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Оценивают.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Коммуникативные-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умение слушать и говорить,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Личностные- </w:t>
            </w: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самоопредление, оценивание.</w:t>
            </w:r>
          </w:p>
        </w:tc>
      </w:tr>
      <w:tr w:rsidR="001528B9" w:rsidRPr="001528B9" w:rsidTr="001528B9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Самоопределение к деятельности.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Выход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тему, цель, учебные задачи.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детей к формулированию 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емы и постановке задач урока.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-Посмотрите на доску, попробуйте ответить на вопросы, это поможет сформулировать тему урока.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5: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1)Мать учения – это …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2) Случаи умножения и деления, которых нет в таблице, называются …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3) Каким действием можно заменить сумму одинаковых слагаемых …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4) Противоположное действие умножению …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 вы думаете, будем ли мы сегодня изучать новый материал? Почему?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-Сформулируйте тему урока.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-Сформулируйте цель урока.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6: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Организует диалог с учащимися, в ходе которого форму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лирует некоторые задачи урока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Отвечают на вопросы. Выбирают нужный вариант ответа.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Формулируют тему и цель урока.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«Повторение изученного»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Повторить и закрепить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изученный материал.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развитие познавательных интересов учебных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мотивов;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ясно и четко излагать свое мнение, выстраивать речевые конструкции.</w:t>
            </w:r>
          </w:p>
        </w:tc>
      </w:tr>
      <w:tr w:rsidR="001528B9" w:rsidRPr="001528B9" w:rsidTr="001528B9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Повторение изученного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детей к самостоятельно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 выводу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Какие же основные виды внетабличного умножения и деления нам знакомы. Повторим.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* На партах лежат карточки для работы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-Посмотрите. На доске схема 1.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-Для какого случая она подходит?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Слайд 7: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-Какой вид представлен.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Верно. </w:t>
            </w: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Умножение двузначного числа на однозначное.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Какой столбик из карточки подходит?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 выполняются вычисления?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Выполняют вычисления двух примеров у доски с комментированием. и двух самостоятельно.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8: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Схема 2 на слайде.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-Какой вид деления представлен?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-Верно. </w:t>
            </w: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Деление двузначного числа на однозначное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Какой столбик из карточки с примерами подходит?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 выполняются вычисления?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Выполняют вычисления двух примеров у доски с устным комментированием и двух самостоятельно.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Слайд 9: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Схема 3 на слайде.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-Какой вид деления представлен?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-Верно. </w:t>
            </w: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Деление двузначного числа на двузначное.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Какой столбик из карточки подходит?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Как выполняются вычисления?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Выполняют вычисления двух примеров у доски с устным комментированием и двух самостоятельно.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Организует подвод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ящий диалог, уточняет правило.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Находят нужное решение, делают выбор. Обосновывают.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решение примеров по заданному алгоритму. Записывают решение.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предвосхищение результата и уровня усвоения знаний.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выбор наиболее эффективных способов решения задач в зависимости от конкретных условий;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знание основных моральных норм работы в паре (справедливого распределения, взаимопомощи, ответственности);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с достаточной полнотой и точностью выражать свои мысли в соответствии с задачами.</w:t>
            </w:r>
          </w:p>
        </w:tc>
      </w:tr>
      <w:tr w:rsidR="001528B9" w:rsidRPr="001528B9" w:rsidTr="001528B9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Снятие усталости.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Слайд 10: 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Организует выполнение физминутки.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физминутку.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28B9" w:rsidRPr="001528B9" w:rsidTr="001528B9">
        <w:trPr>
          <w:tblCellSpacing w:w="0" w:type="dxa"/>
        </w:trPr>
        <w:tc>
          <w:tcPr>
            <w:tcW w:w="2303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Решение задачи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 Развитие умения решать задачи изученных видов.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Работа по учебнику 5мин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Стр.25 №10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Решение задачи.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Чтение задачи «жужжанием».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Повторное чтение вслух (Руслан)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Из скольких частей состоит задача?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-Что нам известно?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-Что нужно найти?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 оформим краткую запись?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 11: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-Заполняем таблицу данными.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-Выполняем решение двумя способами.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1 способ: (20+10):5 = 6(д.)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2 способ: 20:5 + 10:5= 6(д.)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Организует работу учащихся.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  Выполняют задания, доказывают, делают выводы.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адекватно воспринимать оценки;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построение логической цепи рассуждений;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формирование адекватной, позитивной, осознанной самооценки;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владение монологической и диалогической формами речи.</w:t>
            </w:r>
          </w:p>
        </w:tc>
      </w:tr>
      <w:tr w:rsidR="001528B9" w:rsidRPr="001528B9" w:rsidTr="009161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1528B9" w:rsidRPr="001528B9" w:rsidRDefault="001528B9" w:rsidP="001528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умения решать примеры изученных видов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Задание для сам.работы: стр.24 №4.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 два человека у доски. Потом самопроверка.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Организует работу учащихся.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задания, доказывают, делают выводы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действовать по плану и планировать свою деятельность;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контролировать процесс и результаты своей деятельности.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информации, применение методов информационного поиска.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готовность к сотрудничеству, оказанию помощи, распределение ролей;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оценивание усваиваемого содержания.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планирование учебного сотрудничества с учителем и сверстниками;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1528B9" w:rsidRPr="001528B9" w:rsidTr="009161AD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Закрепление. Самостоятельная работа.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умения решать задачи изученных видов.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с карточки.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Слайд.12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 находим периметр прямоугольника?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-Найдите и запишите периметры прямоугольников.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-Каков периметр большой фигуры? Малой?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 находим площадь фигуры?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Как найти площадь закрашенной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фигуры? 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-Найдите и запишите площадь малого и большого прямоугольников.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Найдите разницу.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Организует работу учащихся.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задания, доказывают, делают выводы.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Называют формулы нахождения периметра и площади прямоугольника.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развитие познавательных интересов учебных мотивов;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умение ясно и четко излагать свое мнение, выстраивать речевые конструкции.</w:t>
            </w:r>
          </w:p>
        </w:tc>
      </w:tr>
      <w:tr w:rsidR="001528B9" w:rsidRPr="001528B9" w:rsidTr="009161AD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Геометрическое задание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 Соотнесение поставленных задач с достигнутым результатом, фиксация нового знания, постановка дальнейших целей.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-Какова была тема урока?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-Ккакую задачу ставили? Выполнили ее?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Что показалось трудным?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Отметки за работу.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 Задает вопросы 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 задачах урока.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высказывают свои впечатления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 урока, делают предположения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выбор наиболее эффективных способов решения в зависимости от конкретных условий;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установление причинно-следственных связей, построение логической цепи рассуждений, доказательства.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оценивание усваиваемого </w:t>
            </w: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содержания, исходя из социальных и личностных ценностей;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слушать и вступать в диалог, участвовать в коллективном обсуждении проблем.</w:t>
            </w:r>
          </w:p>
        </w:tc>
      </w:tr>
      <w:tr w:rsidR="001528B9" w:rsidRPr="001528B9" w:rsidTr="009161AD">
        <w:trPr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понимания учащимися цели, содержания и способов выполнения домашнего задания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-Откройте дневники и запишите домашнее задание.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НА ДОСКЕ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Стр.24 №3 (3,4), стр.25 № 12(4)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Объяснение.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Проводит разбор домашнего задания, проводит пояснения к упражнению, дает конструктивные задания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Записывают задание на дом, задают вопросы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выделение и осознание учащимися того, что уже усвоено.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самостоятельное формулирование познавательной цели;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построение логической цепи рассуждений;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постановка вопросов;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слушать и вступать в диалог;</w:t>
            </w:r>
          </w:p>
        </w:tc>
      </w:tr>
      <w:tr w:rsidR="001528B9" w:rsidRPr="001528B9" w:rsidTr="009161AD">
        <w:trPr>
          <w:trHeight w:val="1439"/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 разъяснения домашнего задания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позитивного настроя на получение знаний</w:t>
            </w: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-Оцените свою работу на уроке.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(дети показывают смайлики)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Урок наш окончен!</w:t>
            </w: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Обеспечивает положитель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ную реакцию учащихся.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Даёт инструкцию по выполнению домашнего задания</w:t>
            </w: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Получают позитивный настрой от урока</w:t>
            </w: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оценка – осознание качества и уровня освоения и владения теми или иными учебными действиями;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осуществлять итоговый контроль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оценивать собственную учебную деятельность: свои достижения, степень самостоятельности, причины неудач.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умение строить продуктивное взаимодействие в сотрудничестве со сверстниками и взрослыми.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sz w:val="24"/>
                <w:szCs w:val="24"/>
                <w:lang w:eastAsia="ru-RU"/>
              </w:rPr>
              <w:t>- проявлять активность в деятельности.</w:t>
            </w:r>
          </w:p>
        </w:tc>
      </w:tr>
      <w:tr w:rsidR="001528B9" w:rsidRPr="001528B9" w:rsidTr="009161AD">
        <w:trPr>
          <w:trHeight w:val="2711"/>
          <w:tblCellSpacing w:w="0" w:type="dxa"/>
        </w:trPr>
        <w:tc>
          <w:tcPr>
            <w:tcW w:w="230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hideMark/>
          </w:tcPr>
          <w:p w:rsidR="001528B9" w:rsidRPr="001528B9" w:rsidRDefault="001528B9" w:rsidP="001528B9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Заключительный этап и рефлексия.</w:t>
            </w:r>
          </w:p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28B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(контрольно-оценночная деятельность)</w:t>
            </w:r>
          </w:p>
        </w:tc>
        <w:tc>
          <w:tcPr>
            <w:tcW w:w="20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1528B9" w:rsidRPr="001528B9" w:rsidRDefault="001528B9" w:rsidP="001528B9">
            <w:pPr>
              <w:spacing w:before="100" w:beforeAutospacing="1" w:after="119" w:line="240" w:lineRule="auto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1528B9" w:rsidRPr="001528B9" w:rsidRDefault="001528B9" w:rsidP="001528B9">
            <w:pPr>
              <w:spacing w:before="100" w:beforeAutospacing="1" w:after="0" w:line="240" w:lineRule="auto"/>
              <w:ind w:left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1528B9" w:rsidRPr="001528B9" w:rsidRDefault="001528B9" w:rsidP="001528B9">
            <w:pPr>
              <w:spacing w:before="100" w:beforeAutospacing="1" w:after="119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28B9" w:rsidRPr="001528B9" w:rsidRDefault="001528B9" w:rsidP="001528B9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1528B9" w:rsidRPr="001528B9" w:rsidSect="001528B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1CC7"/>
    <w:multiLevelType w:val="multilevel"/>
    <w:tmpl w:val="6DC6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B9"/>
    <w:rsid w:val="00014091"/>
    <w:rsid w:val="00075273"/>
    <w:rsid w:val="00124E7E"/>
    <w:rsid w:val="001528B9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33C8D"/>
    <w:rsid w:val="00B3474B"/>
    <w:rsid w:val="00C445EC"/>
    <w:rsid w:val="00C935F5"/>
    <w:rsid w:val="00D75DD5"/>
    <w:rsid w:val="00DA424E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28B9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28B9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2022-03-30T10:16:00Z</dcterms:created>
  <dcterms:modified xsi:type="dcterms:W3CDTF">2022-03-30T10:16:00Z</dcterms:modified>
</cp:coreProperties>
</file>