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88" w:rsidRPr="00ED70F3" w:rsidRDefault="00584788" w:rsidP="00584788">
      <w:pPr>
        <w:shd w:val="clear" w:color="auto" w:fill="FFFFFF"/>
        <w:spacing w:after="0" w:line="240" w:lineRule="auto"/>
        <w:ind w:firstLine="426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D70F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Приложение № 3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jc w:val="right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Опросник по сбору сведений по случаю нарушений прав и законных интересов ребенка.</w:t>
      </w: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b/>
          <w:bCs/>
          <w:sz w:val="24"/>
          <w:szCs w:val="24"/>
        </w:rPr>
      </w:pPr>
      <w:r w:rsidRPr="00B215D7">
        <w:rPr>
          <w:rFonts w:cs="Times New Roman"/>
          <w:b/>
          <w:bCs/>
          <w:sz w:val="24"/>
          <w:szCs w:val="24"/>
        </w:rPr>
        <w:t>1. Общие сведения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Дата и время поступления сведений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ФИО, адрес и номер телефона заявителя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Обстоятельства, при которых заявитель узнал о жестоком обращении с ребенком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Качество, в котором заявитель выступает в отношении ребенка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Продолжительность периода времени, в течение которого заявителю известно о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жестоком обращении с ребенком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Приняты ли какие-либо меры: ребенок получил медицинскую помощь; ребенка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забрали из дома; сообщили в правоохранительные органы; прибегали к помощи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других профессиональных работников; другое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Готовность заявителя принять участие в более детальной оценке положения в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семье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ФИО, адреса и номера телефонов других лиц, которые могут подтвердить сведения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о жестоком обращении с ребенком.</w:t>
      </w: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b/>
          <w:bCs/>
          <w:sz w:val="24"/>
          <w:szCs w:val="24"/>
        </w:rPr>
      </w:pPr>
      <w:r w:rsidRPr="00B215D7">
        <w:rPr>
          <w:rFonts w:cs="Times New Roman"/>
          <w:b/>
          <w:bCs/>
          <w:sz w:val="24"/>
          <w:szCs w:val="24"/>
        </w:rPr>
        <w:t>2. Сведения о ребенке, предположительно ставшем жертвой жестокого</w:t>
      </w: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b/>
          <w:bCs/>
          <w:sz w:val="24"/>
          <w:szCs w:val="24"/>
        </w:rPr>
      </w:pPr>
      <w:r w:rsidRPr="00B215D7">
        <w:rPr>
          <w:rFonts w:cs="Times New Roman"/>
          <w:b/>
          <w:bCs/>
          <w:sz w:val="24"/>
          <w:szCs w:val="24"/>
        </w:rPr>
        <w:t>обращения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ФИО ребенка; дата рождения, пол, принадлежность к этнической или культурной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группе, родной язык ребенка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Образовательное учреждение, которое посещает ребенок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Характер поведения и степень дееспособности ребенка; способность ребенка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защитить себя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Время и место совершения предполагаемого насилия; тип, степень тяжести,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продолжительность и периодичность насилия; текущее состояние ребенка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Местонахождение ребенка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Были ли зафиксированы в семье ранее доказанные или предполагаемые случаи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жестокого обращения с ребенком, и если да, то когда и какие именно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Обстоятельства или возможная причина жестокого обращения с ребенком</w:t>
      </w: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sz w:val="24"/>
          <w:szCs w:val="24"/>
        </w:rPr>
      </w:pP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b/>
          <w:bCs/>
          <w:sz w:val="24"/>
          <w:szCs w:val="24"/>
        </w:rPr>
      </w:pPr>
      <w:r w:rsidRPr="00B215D7">
        <w:rPr>
          <w:rFonts w:cs="Times New Roman"/>
          <w:b/>
          <w:bCs/>
          <w:sz w:val="24"/>
          <w:szCs w:val="24"/>
        </w:rPr>
        <w:t>3. Сведения о родителях или основных воспитателях ребенка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ФИО родителей или основного воспитателя (необходимо отдельно отметить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случаи, когда ребенок носит другую фамилию)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Принадлежность родителей или основного воспитателя к этнической или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культурной группе, их родной язык; понимают ли они язык страны проживания,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могут ли общаться на этом языке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Характер поведения и степень дееспособности родителей или основного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воспитателя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Наличие в доме других взрослых и качество, в котором они выступают в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отношении ребенка, его родителей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Где и кем работают родители или основной воспитатель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Известно ли родителям или основному воспитателю о том, что заявитель обратился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в органы защиты детства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Сведения о родственниках, друзьях, соседях (перечень и место нахождения),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которые могут оказать содействие сотрудникам органов защиты детства или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располагать важной информацией о фактах, изложенных в заявлении; роль этих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людей в семье</w:t>
      </w:r>
    </w:p>
    <w:p w:rsidR="00584788" w:rsidRPr="00B215D7" w:rsidRDefault="00584788" w:rsidP="00584788">
      <w:pPr>
        <w:autoSpaceDE w:val="0"/>
        <w:autoSpaceDN w:val="0"/>
        <w:adjustRightInd w:val="0"/>
        <w:spacing w:after="0" w:line="240" w:lineRule="auto"/>
        <w:ind w:firstLine="426"/>
        <w:rPr>
          <w:rFonts w:cs="Times New Roman"/>
          <w:b/>
          <w:bCs/>
          <w:sz w:val="24"/>
          <w:szCs w:val="24"/>
        </w:rPr>
      </w:pPr>
      <w:r w:rsidRPr="00B215D7">
        <w:rPr>
          <w:rFonts w:cs="Times New Roman"/>
          <w:b/>
          <w:bCs/>
          <w:sz w:val="24"/>
          <w:szCs w:val="24"/>
        </w:rPr>
        <w:t>4. Сведения о предполагаемом обидчике ребенка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ФИО, адрес, номер телефона; возраст, пол, общий уровень функциональности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Качество, в котором обидчик выступает в отношении ребенка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Доступ обидчика к ребенку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Были ли случаи, когда обидчик допускал жестокость по отношению к другим</w:t>
      </w:r>
    </w:p>
    <w:p w:rsidR="00584788" w:rsidRPr="00602EB2" w:rsidRDefault="00584788" w:rsidP="00584788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lastRenderedPageBreak/>
        <w:t>детям, будь то в доме или вне дома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Есть ли сведения о том, что обидчик злоупотребляет алкоголем или наркотиками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Есть ли сведения о привлечении обидчика к уголовной ответственности</w:t>
      </w:r>
    </w:p>
    <w:p w:rsidR="00584788" w:rsidRPr="00602EB2" w:rsidRDefault="00584788" w:rsidP="005847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szCs w:val="24"/>
        </w:rPr>
      </w:pPr>
      <w:r w:rsidRPr="00602EB2">
        <w:rPr>
          <w:szCs w:val="24"/>
        </w:rPr>
        <w:t>Есть ли сведения о том, что обидчик склонен к насилию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br/>
      </w:r>
      <w:r w:rsidRPr="00077A8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br/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sz w:val="24"/>
          <w:szCs w:val="24"/>
          <w:lang w:eastAsia="ru-RU"/>
        </w:rPr>
      </w:pPr>
      <w:r w:rsidRPr="00077A87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Алгоритм действий специалистов органов и учреждений системы профилактики по выявлению фактов жестокого обращения с несовершеннолетним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eastAsia="Times New Roman" w:cs="Times New Roman"/>
          <w:sz w:val="24"/>
          <w:szCs w:val="24"/>
          <w:lang w:eastAsia="ru-RU"/>
        </w:rPr>
      </w:pPr>
      <w:r w:rsidRPr="00077A87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Действия специалистов органов и учреждений системы профилактики при обнаружении явных признаков жестокого обращения с ребенком.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Ребенок считается жертвой жестокого обращения, если в результате действий или бездействий со стороны окружающих лиц ему был причинен вред или он подвергся высокому риску причинения вреда. Таким образом, специалисты должны уметь распознавать признаки жестокого обращения и проводить оценку риска причинения вреда.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Поводом для вмешательства специалистов, изучения ситуации в семье может быть: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информация от ребенка;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информация от родителей (законных представителей), других членов семьи;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информация от специалистов;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информация от сверстников и друзей, соседей, иных граждан;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информация от представителей общественных объединений;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результаты медицинского осмотра;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результаты экспертиз;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дополнительная информация, собранная в ходе психологической диагностики, наблюдений за ребенком.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В выявлении несовершеннолетних, пострадавших от жестокого обращения, принимают участие специалисты всех субъектов системы профилактики безнадзорности и правонарушений несовершеннолетних.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Особую роль в выявлении жестокого обращения на ранних этапах играют специалисты учреждений образования, здравоохранения (в том числе для неорганизованных малолетних детей), которые имеют возможность наблюдать несовершеннолетнего в течение длительного времени.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Особое внимание необходимо уделять выявлению признаков жестокого обращения в отношении: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несовершеннолетних, проживающих в семьях, находящихся в трудной жизненной или кризисной ситуации, состоящих на обслуживании в учреждениях социальной защиты населения, а также в едином банке данных о несовершеннолетних и семьях, находящихся в социально опасном положении;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несовершеннолетних, поступивших с телесными повреждениями в учреждения здравоохранения, или проживающих в семьях, состоящих на медико-социальном сопровождении;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несовершеннолетних, родители которых состоят на учете в органах внутренних дел;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несовершеннолетних, посещающих учреждения образования, имеющих проблемы в обучении и поведении, пропускающих занятия по неуважительным причинам, или несовершеннолетних из неблагополучных семей, состоящих на внутришкольном контроле.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br/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со статьей 9 Федерального закона от 24 июня 1999 года № 120-ФЗ «Об основах системы профилактики безнадзорности и правонарушений», органы и учреждения 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1)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прокуратуры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выявлении случаев угрозы жизни и здоровью и (или) совершения жестокого обращения с ребенком, насильственных действий, в том числе сексуального характера;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2)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комиссию по делам несовершеннолетних и защите их прав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действиях либо бездействии должностных лиц, родителей, лиц их заменяющих, не обеспечивших защиту прав и законных интересов детей;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3)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опеки и попечительства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4)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управления социальной защитой населения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5)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внутренних дел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выявлении родителей несовершеннолетних или иных их законных представителей, не выполняющих обязанности по воспитанию детей, жестоко обращающихся с несовершеннолетними и (или) вовлекающих их в совершение преступлений или антиобщественных действий, совершающих по отношению к ним другие противоправные деяния, а также о несовершеннолетних, совершивших правонарушения или антиобщественные действия;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6)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управления здравоохранением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7)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управления образованием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8)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по делам молодежи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- о выявлении несовершеннолетних, находящихся в социально опасном положении, и нуждающихся в этой связи в оказании помощи в организации отдыха, досуга, занятости.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Специалисты органов и учреждений системы профилактики регистрируют все полученные сообщения о фактах жестокого обращения с несовершеннолетними, невыполнения обязанностей по воспитанию, содержанию и обучению детей, ведут учет данных сообщений, оперативно проводят их проверку, в рамках компетенции, запрашивают необходимую информацию в других ведомствах.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br/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Действия специалистов образовательных учреждений</w:t>
      </w:r>
      <w:r w:rsidRPr="00077A8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077A8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 Работники образовательных учреждений должны обращать внимание на следующие особенности в поведении ребенка, которые могут свидетельствовать о жестоком обращении или насилии по отношении к нему: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психическое и физическое развитие ребенка не соответствует его возрасту;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неухоженность, неопрятность; апатичность или, наоборот, агрессивность ребенка;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проблемы с обучением в связи с плохой концентрацией внимания;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отказ ребенка раздеться, чтобы скрыть синяки и раны на теле;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повторяющиеся жалобы на недомогание (головную боль, боли в животе и др.);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враждебность или чувство страха по отношению к отцу или матери;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сильная реакция испуга или отвращения в связи с физической близостью определенного взрослого;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чрезмерное стремление к одобрению, ласке любого взрослого, гипертрофированная забота обо всем и обо всех;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демонстрация «взрослого» поведения, интерес к вопросам секса;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обвинение ребенком родителей или опекуна в нанесении повреждений;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прятанье в школе дневника, обманы, ложь, острые эмоциональные реакции при получении замечаний или плохих оценок, боязнь идти домой;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случаи энуреза, энкопреза у ребенка школьного возраста;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ребенок много времени проводит в семье знакомых, одноклассников, соседей, не стремиться домой после школы.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Особенности в поведении взрослых, которые, предположительно, могут проявлять жесткость по отношению к ребенку: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в беседе о ребенке родители проявляют настороженность или безразличие;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на жалобы по поводу поведения сына (дочери) в детском саду, в школе реагируют холодно либо очень бурно и эмоционально;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часто меняют детского участкового врача, переводят ребенка из одного дошкольного учреждения, школы в другое.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запрет родителей на осмотр ребенка в образовательном учреждении;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необъяснимая отсрочка в обращении родителя и ребенка за медицинской помощью;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противоречия в беседе о ребенке, семье, увлечениях ребенка, совместном времяпрепровождении;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объяснения о состоянии ребенка не несовместимы с имеющимися проблемами, физическими травмами;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родители обвиняют ребенка в полученных повреждениях;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родители не знают друзей ребенка.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2. Работник образовательного учреждения должен предпринять следующие меры, если подозревает родителей (или законных представителей), а также работников образовательного учреждения, в жестоком обращении с ребенком.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2.1. Необходимо завоевать доверие несовершеннолетнего, наблюдать за его поведением, а замеченные отклонения желательно заносить в специальный дневник.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2.2. В случае получения оснований полагать, что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 к ребенку и т. д., необходимо осуществить выход в семью ребенка (изучить условия проживания несовершеннолетнего, установить контакты с семьей, побеседовать с родителями (или законными представителями), близкими родственниками, высказать свою озабоченность его поведением в образовательном учреждении).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2.3. При явных признаках жестокого обращения организовать осмотр ребенка медицинским работником (при отсутствии - другим специалистом учреждения), зафиксировать (запротоколировать) следы побоев и других форм физического насилия. 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Принять меры, с учетом возраста ребенка, к оказанию медицинской помощи ребенку (при необходимости), обеспечению безопасности ребенка, вплоть до отобрания его из семьи, в соответствии с законодательством (передача ребенка другому родителю (родственнику), временное помещение ребенка в больницу, вызов социальной службы экстренного реагирования).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В результате предпринятых действий можно прийти к следующим выводам: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предположение подтверждается (не подтверждается);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решение проблемы не терпит отлагательства и требует подключения специалистов.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Особого внимания требуют семьи, в которых существует «установка на агрессию». Наказание ребенка, в том числе физическое, в данном случае является выражением привычного способа поведения.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3. При выявлении случая жестокого обращения с ребенком со стороны родителя (или законного представителя), работника образовательного учреждения, необходимо: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немедленно направить информацию (в письменной форме) руководителю образовательного учреждения о выявленном случае жестокого обращения с ребенком;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 в </w:t>
      </w:r>
      <w:r w:rsidRPr="00077A87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>органы опеки и попечительства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для проведения обследования условий жизни и воспитания ребенка (приложение № 1);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педагогу, на которого возложены обязанности по организации работы, направленной на профилактику жестокого обращения, заполнить форму</w:t>
      </w:r>
      <w:r w:rsidRPr="00077A8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сведений о несовершеннолетних, пострадавших в результате насилия (приложение № 2).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4. В целях защиты прав и интересов несовершеннолетнего, пострадавшего от жестокого обращения, необходимо: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совместно с заинтересованными службами (медицинские работники, психологи, специалисты по социальной работе, педагоги) разработать план реабилитации несовершеннолетнего, пострадавшего от жестокого обращения (в течение двух рабочих дней с момента подтверждения факта жестокого обращения), включая работу с семьей несовершеннолетнего, пострадавшего от жестокого обращения;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непосредственно организовать проведение мероприятий в соответствии с планом реабилитации;</w:t>
      </w:r>
    </w:p>
    <w:p w:rsidR="00584788" w:rsidRPr="00077A87" w:rsidRDefault="00584788" w:rsidP="00584788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077A87">
        <w:rPr>
          <w:rFonts w:eastAsia="Times New Roman" w:cs="Times New Roman"/>
          <w:color w:val="000000"/>
          <w:sz w:val="24"/>
          <w:szCs w:val="24"/>
          <w:lang w:eastAsia="ru-RU"/>
        </w:rPr>
        <w:t>- направить информацию в комиссию по делам несовершеннолетних и защите их прав по месту проживания ребенка и рассмотреть вопрос о привлечении виновных лиц к ответственности, в соответствии с действующим законодательством.</w:t>
      </w:r>
    </w:p>
    <w:p w:rsidR="00B30116" w:rsidRDefault="00584788">
      <w:bookmarkStart w:id="0" w:name="_GoBack"/>
      <w:bookmarkEnd w:id="0"/>
    </w:p>
    <w:sectPr w:rsidR="00B30116" w:rsidSect="005F4D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21F18"/>
    <w:multiLevelType w:val="hybridMultilevel"/>
    <w:tmpl w:val="951A9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8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84788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8621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2021-11-12T13:39:00Z</dcterms:created>
  <dcterms:modified xsi:type="dcterms:W3CDTF">2021-11-12T13:39:00Z</dcterms:modified>
</cp:coreProperties>
</file>