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53"/>
        <w:tblW w:w="388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30"/>
        <w:gridCol w:w="740"/>
        <w:gridCol w:w="30"/>
        <w:gridCol w:w="740"/>
        <w:gridCol w:w="30"/>
        <w:gridCol w:w="755"/>
        <w:gridCol w:w="50"/>
      </w:tblGrid>
      <w:tr w:rsidR="009B0C60" w:rsidRPr="00E91254" w:rsidTr="00AC481A">
        <w:trPr>
          <w:trHeight w:val="391"/>
          <w:tblHeader/>
          <w:tblCellSpacing w:w="15" w:type="dxa"/>
        </w:trPr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C60" w:rsidRPr="00E91254" w:rsidRDefault="009B0C60" w:rsidP="00E91254">
            <w:pPr>
              <w:pBdr>
                <w:bottom w:val="single" w:sz="6" w:space="5" w:color="FFFFFF"/>
              </w:pBdr>
              <w:shd w:val="clear" w:color="auto" w:fill="99999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Максимальные ставки по вкладам</w:t>
            </w:r>
          </w:p>
        </w:tc>
      </w:tr>
      <w:tr w:rsidR="009B0C60" w:rsidRPr="00E91254" w:rsidTr="00AC481A">
        <w:trPr>
          <w:trHeight w:val="208"/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DD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C60" w:rsidRPr="00E91254" w:rsidRDefault="009B0C60" w:rsidP="00E9125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ТОП-10 банков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D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C60" w:rsidRPr="00E91254" w:rsidRDefault="009B0C60" w:rsidP="00E9125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Валюта</w:t>
            </w:r>
          </w:p>
        </w:tc>
      </w:tr>
      <w:tr w:rsidR="009B0C60" w:rsidRPr="00E91254" w:rsidTr="00AC481A">
        <w:trPr>
          <w:trHeight w:val="208"/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9B0C60" w:rsidRPr="00E91254" w:rsidRDefault="009B0C60" w:rsidP="00E91254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2" w:space="0" w:color="FFFFFF"/>
              <w:right w:val="single" w:sz="6" w:space="0" w:color="FFFFFF"/>
            </w:tcBorders>
            <w:shd w:val="clear" w:color="auto" w:fill="DD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C60" w:rsidRPr="00E91254" w:rsidRDefault="009B0C60" w:rsidP="00E9125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2" w:space="0" w:color="FFFFFF"/>
              <w:right w:val="single" w:sz="6" w:space="0" w:color="FFFFFF"/>
            </w:tcBorders>
            <w:shd w:val="clear" w:color="auto" w:fill="DD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C60" w:rsidRPr="00E91254" w:rsidRDefault="009B0C60" w:rsidP="00E9125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615" w:type="dxa"/>
            <w:gridSpan w:val="3"/>
            <w:tcBorders>
              <w:top w:val="single" w:sz="6" w:space="0" w:color="FFFFFF"/>
              <w:left w:val="single" w:sz="2" w:space="0" w:color="FFFFFF"/>
              <w:bottom w:val="single" w:sz="2" w:space="0" w:color="FFFFFF"/>
              <w:right w:val="nil"/>
            </w:tcBorders>
            <w:shd w:val="clear" w:color="auto" w:fill="DD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C60" w:rsidRPr="00E91254" w:rsidRDefault="009B0C60" w:rsidP="00E9125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EUR</w:t>
            </w:r>
          </w:p>
        </w:tc>
      </w:tr>
      <w:tr w:rsidR="009B0C60" w:rsidRPr="00E91254" w:rsidTr="00AC481A">
        <w:trPr>
          <w:gridAfter w:val="1"/>
          <w:wAfter w:w="5" w:type="dxa"/>
          <w:trHeight w:val="165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4" w:tooltip="Вклады Сбербанка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Сбербанк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0.01</w:t>
            </w:r>
          </w:p>
        </w:tc>
      </w:tr>
      <w:tr w:rsidR="009B0C60" w:rsidRPr="00E91254" w:rsidTr="00AC481A">
        <w:trPr>
          <w:gridAfter w:val="1"/>
          <w:wAfter w:w="5" w:type="dxa"/>
          <w:trHeight w:val="156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5" w:tooltip="Вклады банка ВТБ24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ВТБ24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0.10</w:t>
            </w:r>
          </w:p>
        </w:tc>
      </w:tr>
      <w:tr w:rsidR="009B0C60" w:rsidRPr="00E91254" w:rsidTr="00AC481A">
        <w:trPr>
          <w:gridAfter w:val="1"/>
          <w:wAfter w:w="5" w:type="dxa"/>
          <w:trHeight w:val="156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6" w:tooltip="Вклады Газпромбанка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Газпромбанк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0.10</w:t>
            </w:r>
          </w:p>
        </w:tc>
      </w:tr>
      <w:tr w:rsidR="009B0C60" w:rsidRPr="00E91254" w:rsidTr="00AC481A">
        <w:trPr>
          <w:gridAfter w:val="1"/>
          <w:wAfter w:w="5" w:type="dxa"/>
          <w:trHeight w:val="165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7" w:tooltip="Вклады Россельхозбанка: подробная информация, сравнение и расчет доходности" w:history="1">
              <w:proofErr w:type="spellStart"/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Россельхозбанк</w:t>
              </w:r>
              <w:proofErr w:type="spellEnd"/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0.35</w:t>
            </w:r>
          </w:p>
        </w:tc>
      </w:tr>
      <w:tr w:rsidR="009B0C60" w:rsidRPr="00E91254" w:rsidTr="00AC481A">
        <w:trPr>
          <w:gridAfter w:val="1"/>
          <w:wAfter w:w="5" w:type="dxa"/>
          <w:trHeight w:val="322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tooltip="Вклады ВТБ Банка Москвы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ВТБ Банк Москвы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7.85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0.10</w:t>
            </w:r>
          </w:p>
        </w:tc>
      </w:tr>
      <w:tr w:rsidR="009B0C60" w:rsidRPr="00E91254" w:rsidTr="00AC481A">
        <w:trPr>
          <w:gridAfter w:val="1"/>
          <w:wAfter w:w="5" w:type="dxa"/>
          <w:trHeight w:val="156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tooltip="Вклады Альфа-Банка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Альфа-Банк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0.20</w:t>
            </w:r>
          </w:p>
        </w:tc>
      </w:tr>
      <w:tr w:rsidR="009B0C60" w:rsidRPr="00E91254" w:rsidTr="00AC481A">
        <w:trPr>
          <w:gridAfter w:val="1"/>
          <w:wAfter w:w="5" w:type="dxa"/>
          <w:trHeight w:val="156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0" w:tooltip="Вклады БИНБАНКа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БИНБАНК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0.50</w:t>
            </w:r>
          </w:p>
        </w:tc>
      </w:tr>
      <w:tr w:rsidR="009B0C60" w:rsidRPr="00E91254" w:rsidTr="00AC481A">
        <w:trPr>
          <w:gridAfter w:val="1"/>
          <w:wAfter w:w="5" w:type="dxa"/>
          <w:trHeight w:val="165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tooltip="Вклады Промсвязьбанка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Промсвязьбанк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0.45</w:t>
            </w:r>
          </w:p>
        </w:tc>
      </w:tr>
      <w:tr w:rsidR="009B0C60" w:rsidRPr="00E91254" w:rsidTr="00AC481A">
        <w:trPr>
          <w:gridAfter w:val="1"/>
          <w:wAfter w:w="5" w:type="dxa"/>
          <w:trHeight w:val="322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2" w:tooltip="Вклады банка &quot;ФК Открытие&quot;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Банк "ФК Открытие"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8.85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1.79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0.50</w:t>
            </w:r>
          </w:p>
        </w:tc>
      </w:tr>
      <w:tr w:rsidR="009B0C60" w:rsidRPr="00E91254" w:rsidTr="00AC481A">
        <w:trPr>
          <w:gridAfter w:val="1"/>
          <w:wAfter w:w="5" w:type="dxa"/>
          <w:trHeight w:val="479"/>
          <w:tblCellSpacing w:w="15" w:type="dxa"/>
        </w:trPr>
        <w:tc>
          <w:tcPr>
            <w:tcW w:w="1862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FFFFF"/>
            <w:tcMar>
              <w:top w:w="150" w:type="dxa"/>
              <w:left w:w="390" w:type="dxa"/>
              <w:bottom w:w="150" w:type="dxa"/>
              <w:right w:w="60" w:type="dxa"/>
            </w:tcMar>
            <w:hideMark/>
          </w:tcPr>
          <w:p w:rsidR="009B0C60" w:rsidRPr="00E91254" w:rsidRDefault="00C564C7" w:rsidP="00E91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3" w:tooltip="Вклады Ханты-Мансийского банка Открытие: подробная информация, сравнение и расчет доходности" w:history="1">
              <w:r w:rsidR="009B0C60" w:rsidRPr="00E91254">
                <w:rPr>
                  <w:rFonts w:ascii="Times New Roman" w:eastAsia="Times New Roman" w:hAnsi="Times New Roman" w:cs="Times New Roman"/>
                  <w:b/>
                  <w:color w:val="156DD8"/>
                  <w:sz w:val="24"/>
                  <w:szCs w:val="24"/>
                  <w:u w:val="single"/>
                  <w:lang w:eastAsia="ru-RU"/>
                </w:rPr>
                <w:t>Ханты-Мансийский банк Открытие</w:t>
              </w:r>
            </w:hyperlink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8.75</w:t>
            </w:r>
          </w:p>
        </w:tc>
        <w:tc>
          <w:tcPr>
            <w:tcW w:w="630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single" w:sz="6" w:space="0" w:color="FFFFFF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2" w:space="0" w:color="FFFFFF"/>
              <w:bottom w:val="single" w:sz="6" w:space="0" w:color="DDDDDD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0C60" w:rsidRPr="00E91254" w:rsidRDefault="009B0C60" w:rsidP="00E9125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1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0.50</w:t>
            </w:r>
          </w:p>
        </w:tc>
      </w:tr>
    </w:tbl>
    <w:p w:rsidR="00875E1D" w:rsidRDefault="00E91254">
      <w:pPr>
        <w:rPr>
          <w:rFonts w:ascii="Times New Roman" w:hAnsi="Times New Roman" w:cs="Times New Roman"/>
          <w:b/>
          <w:sz w:val="28"/>
          <w:szCs w:val="28"/>
        </w:rPr>
      </w:pPr>
      <w:r w:rsidRPr="00E91254">
        <w:rPr>
          <w:rFonts w:ascii="Times New Roman" w:hAnsi="Times New Roman" w:cs="Times New Roman"/>
          <w:b/>
          <w:sz w:val="28"/>
          <w:szCs w:val="28"/>
        </w:rPr>
        <w:t>Финансы</w:t>
      </w:r>
      <w:r w:rsidR="004375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C8417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37597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C8417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C481A" w:rsidRPr="00E91254" w:rsidRDefault="00AC481A">
      <w:pPr>
        <w:rPr>
          <w:rFonts w:ascii="Times New Roman" w:hAnsi="Times New Roman" w:cs="Times New Roman"/>
          <w:b/>
          <w:sz w:val="28"/>
          <w:szCs w:val="28"/>
        </w:rPr>
      </w:pPr>
    </w:p>
    <w:p w:rsidR="009B0C60" w:rsidRDefault="00AC481A">
      <w:r>
        <w:rPr>
          <w:noProof/>
          <w:lang w:eastAsia="ru-RU"/>
        </w:rPr>
        <w:drawing>
          <wp:inline distT="0" distB="0" distL="0" distR="0" wp14:anchorId="25C5746B" wp14:editId="230FF8DA">
            <wp:extent cx="3644265" cy="2431568"/>
            <wp:effectExtent l="0" t="0" r="0" b="6985"/>
            <wp:docPr id="9" name="Рисунок 9" descr="http://freelance.ru/img/portfolio/pics/00/13/F4/1307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reelance.ru/img/portfolio/pics/00/13/F4/13077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65" cy="245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254" w:rsidRDefault="00E91254"/>
    <w:p w:rsidR="00E91254" w:rsidRDefault="00E91254"/>
    <w:p w:rsidR="00E91254" w:rsidRDefault="00AC481A">
      <w:r>
        <w:rPr>
          <w:noProof/>
          <w:lang w:eastAsia="ru-RU"/>
        </w:rPr>
        <w:drawing>
          <wp:inline distT="0" distB="0" distL="0" distR="0" wp14:anchorId="0B4C6DC1" wp14:editId="0E1B33DF">
            <wp:extent cx="3561080" cy="1279924"/>
            <wp:effectExtent l="0" t="0" r="1270" b="0"/>
            <wp:docPr id="10" name="Рисунок 5" descr="https://im0-tub-ru.yandex.net/i?id=08ab5afd689e08d5d651202bcac7d91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08ab5afd689e08d5d651202bcac7d910-l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542" cy="129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254" w:rsidRDefault="00AC481A">
      <w:r>
        <w:rPr>
          <w:noProof/>
          <w:lang w:eastAsia="ru-RU"/>
        </w:rPr>
        <w:drawing>
          <wp:anchor distT="0" distB="0" distL="114300" distR="114300" simplePos="0" relativeHeight="25180928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186690</wp:posOffset>
            </wp:positionV>
            <wp:extent cx="3609975" cy="2162175"/>
            <wp:effectExtent l="0" t="0" r="9525" b="9525"/>
            <wp:wrapSquare wrapText="bothSides"/>
            <wp:docPr id="4" name="Рисунок 3" descr="http://savenergy.info/uploads/2014/vodnye-resursy-mi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savenergy.info/uploads/2014/vodnye-resursy-mir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254" w:rsidRDefault="00E91254"/>
    <w:p w:rsidR="00E91254" w:rsidRDefault="00E91254"/>
    <w:p w:rsidR="00E91254" w:rsidRDefault="00E91254"/>
    <w:p w:rsidR="00E91254" w:rsidRDefault="00AC481A">
      <w:r>
        <w:rPr>
          <w:noProof/>
          <w:lang w:eastAsia="ru-RU"/>
        </w:rPr>
        <w:drawing>
          <wp:inline distT="0" distB="0" distL="0" distR="0" wp14:anchorId="552267CC" wp14:editId="23F4E3C3">
            <wp:extent cx="4533900" cy="2657475"/>
            <wp:effectExtent l="0" t="0" r="0" b="9525"/>
            <wp:docPr id="13" name="Содержимое 3" descr="http://wowfacts.net/wp-content/uploads/2011/09/happy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owfacts.net/wp-content/uploads/2011/09/happy.jpg"/>
                    <pic:cNvPicPr>
                      <a:picLocks noGr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254" w:rsidRDefault="00E91254"/>
    <w:p w:rsidR="00E91254" w:rsidRDefault="00AC481A">
      <w:r>
        <w:rPr>
          <w:noProof/>
          <w:lang w:eastAsia="ru-RU"/>
        </w:rPr>
        <w:lastRenderedPageBreak/>
        <w:drawing>
          <wp:anchor distT="0" distB="0" distL="114300" distR="114300" simplePos="0" relativeHeight="251538944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-32385</wp:posOffset>
            </wp:positionV>
            <wp:extent cx="4276725" cy="2352675"/>
            <wp:effectExtent l="0" t="0" r="9525" b="9525"/>
            <wp:wrapSquare wrapText="bothSides"/>
            <wp:docPr id="2" name="Содержимое 3" descr="http://www.putrossii.ru/materiali/pics-raznoe/20150410_AiF_Neftepererabotka_Infografika-Rossiya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ww.putrossii.ru/materiali/pics-raznoe/20150410_AiF_Neftepererabotka_Infografika-Rossiya.jpg"/>
                    <pic:cNvPicPr>
                      <a:picLocks noGr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254" w:rsidRDefault="00C84179">
      <w:r>
        <w:t xml:space="preserve">            </w:t>
      </w:r>
      <w:r w:rsidR="00AC481A">
        <w:rPr>
          <w:noProof/>
          <w:lang w:eastAsia="ru-RU"/>
        </w:rPr>
        <w:drawing>
          <wp:inline distT="0" distB="0" distL="0" distR="0" wp14:anchorId="5C105EB4" wp14:editId="7B0E006B">
            <wp:extent cx="2161752" cy="1621314"/>
            <wp:effectExtent l="0" t="0" r="0" b="0"/>
            <wp:docPr id="14" name="Рисунок 14" descr="https://www.colourbox.com/preview/5337526-sale-concept-with-red-price-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5337526-sale-concept-with-red-price-tag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1" cy="163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254" w:rsidRDefault="00AC481A">
      <w:r>
        <w:rPr>
          <w:noProof/>
          <w:lang w:eastAsia="ru-RU"/>
        </w:rPr>
        <w:drawing>
          <wp:anchor distT="0" distB="0" distL="114300" distR="114300" simplePos="0" relativeHeight="25153792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290195</wp:posOffset>
            </wp:positionV>
            <wp:extent cx="2057400" cy="2076450"/>
            <wp:effectExtent l="0" t="0" r="0" b="0"/>
            <wp:wrapSquare wrapText="bothSides"/>
            <wp:docPr id="8" name="Рисунок 6" descr="https://im0-tub-ru.yandex.net/i?id=7a7fa514876d6ec5b66aa23cd31e402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7a7fa514876d6ec5b66aa23cd31e4024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0" t="3303" r="17028" b="6689"/>
                    <a:stretch/>
                  </pic:blipFill>
                  <pic:spPr bwMode="auto">
                    <a:xfrm>
                      <a:off x="0" y="0"/>
                      <a:ext cx="2057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179">
        <w:t xml:space="preserve">   </w:t>
      </w:r>
    </w:p>
    <w:p w:rsidR="00E91254" w:rsidRDefault="00E91254"/>
    <w:p w:rsidR="00E91254" w:rsidRPr="00E91254" w:rsidRDefault="00E91254">
      <w:pPr>
        <w:rPr>
          <w:b/>
        </w:rPr>
      </w:pPr>
    </w:p>
    <w:p w:rsidR="009B0C60" w:rsidRDefault="009B0C60"/>
    <w:p w:rsidR="009B0C60" w:rsidRDefault="00AC481A">
      <w:r w:rsidRPr="006647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505152" behindDoc="0" locked="0" layoutInCell="1" allowOverlap="1" wp14:anchorId="14A863C1" wp14:editId="1B0794F1">
            <wp:simplePos x="0" y="0"/>
            <wp:positionH relativeFrom="margin">
              <wp:posOffset>-1905</wp:posOffset>
            </wp:positionH>
            <wp:positionV relativeFrom="paragraph">
              <wp:posOffset>10795</wp:posOffset>
            </wp:positionV>
            <wp:extent cx="3524250" cy="2360295"/>
            <wp:effectExtent l="0" t="0" r="0" b="1905"/>
            <wp:wrapSquare wrapText="bothSides"/>
            <wp:docPr id="11" name="Рисунок 31" descr="http://www.sostav.ru/articles/rus/2012/columns/marketface/images/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ostav.ru/articles/rus/2012/columns/marketface/images/b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" t="2692" r="1268" b="4454"/>
                    <a:stretch/>
                  </pic:blipFill>
                  <pic:spPr bwMode="auto">
                    <a:xfrm>
                      <a:off x="0" y="0"/>
                      <a:ext cx="352425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C60" w:rsidRDefault="009B0C60"/>
    <w:p w:rsidR="009B0C60" w:rsidRDefault="009B0C60"/>
    <w:p w:rsidR="009B0C60" w:rsidRDefault="009B0C60"/>
    <w:p w:rsidR="00AC481A" w:rsidRDefault="00AC481A"/>
    <w:p w:rsidR="00AC481A" w:rsidRDefault="00AC481A"/>
    <w:p w:rsidR="00AC481A" w:rsidRDefault="00AC481A"/>
    <w:p w:rsidR="00AC481A" w:rsidRDefault="00AC481A"/>
    <w:p w:rsidR="00AC481A" w:rsidRDefault="00AC481A"/>
    <w:p w:rsidR="00AC481A" w:rsidRDefault="00AC481A"/>
    <w:p w:rsidR="00AC481A" w:rsidRDefault="00C84179">
      <w:r>
        <w:rPr>
          <w:noProof/>
          <w:lang w:eastAsia="ru-RU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887730</wp:posOffset>
            </wp:positionH>
            <wp:positionV relativeFrom="paragraph">
              <wp:posOffset>9525</wp:posOffset>
            </wp:positionV>
            <wp:extent cx="2124075" cy="2251710"/>
            <wp:effectExtent l="0" t="0" r="9525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9" t="3684" r="12770" b="6232"/>
                    <a:stretch/>
                  </pic:blipFill>
                  <pic:spPr bwMode="auto">
                    <a:xfrm>
                      <a:off x="0" y="0"/>
                      <a:ext cx="212407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81A" w:rsidRDefault="00AC481A"/>
    <w:p w:rsidR="00AC481A" w:rsidRDefault="00AC481A"/>
    <w:p w:rsidR="00AC481A" w:rsidRDefault="00AC481A"/>
    <w:p w:rsidR="00AC481A" w:rsidRDefault="00AC481A"/>
    <w:p w:rsidR="009B0C60" w:rsidRDefault="00C84179">
      <w:r>
        <w:rPr>
          <w:noProof/>
          <w:lang w:eastAsia="ru-RU"/>
        </w:rPr>
        <w:drawing>
          <wp:anchor distT="0" distB="0" distL="114300" distR="114300" simplePos="0" relativeHeight="251840000" behindDoc="0" locked="0" layoutInCell="1" allowOverlap="1" wp14:anchorId="2DFACEF3" wp14:editId="09E1FEEC">
            <wp:simplePos x="0" y="0"/>
            <wp:positionH relativeFrom="column">
              <wp:posOffset>5829300</wp:posOffset>
            </wp:positionH>
            <wp:positionV relativeFrom="paragraph">
              <wp:posOffset>1402715</wp:posOffset>
            </wp:positionV>
            <wp:extent cx="863600" cy="2238375"/>
            <wp:effectExtent l="0" t="0" r="0" b="9525"/>
            <wp:wrapSquare wrapText="bothSides"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7712" behindDoc="0" locked="0" layoutInCell="1" allowOverlap="1" wp14:anchorId="1003CA03" wp14:editId="7C6988B6">
            <wp:simplePos x="0" y="0"/>
            <wp:positionH relativeFrom="column">
              <wp:posOffset>4629150</wp:posOffset>
            </wp:positionH>
            <wp:positionV relativeFrom="paragraph">
              <wp:posOffset>2155190</wp:posOffset>
            </wp:positionV>
            <wp:extent cx="714375" cy="1924050"/>
            <wp:effectExtent l="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79" t="6047" r="8837"/>
                    <a:stretch/>
                  </pic:blipFill>
                  <pic:spPr bwMode="auto">
                    <a:xfrm>
                      <a:off x="0" y="0"/>
                      <a:ext cx="714375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DC0CAD5" wp14:editId="783236CD">
            <wp:extent cx="4267200" cy="2819400"/>
            <wp:effectExtent l="0" t="0" r="0" b="0"/>
            <wp:docPr id="3" name="Содержимое 3" descr="http://mfina.ru/wp-content/uploads/2016/07/56b3ce98bb7b5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mfina.ru/wp-content/uploads/2016/07/56b3ce98bb7b5.jpg"/>
                    <pic:cNvPicPr>
                      <a:picLocks noGrp="1"/>
                    </pic:cNvPicPr>
                  </pic:nvPicPr>
                  <pic:blipFill rotWithShape="1">
                    <a:blip r:embed="rId25" cstate="print"/>
                    <a:srcRect l="2982" t="6019" r="2489" b="5825"/>
                    <a:stretch/>
                  </pic:blipFill>
                  <pic:spPr bwMode="auto">
                    <a:xfrm>
                      <a:off x="0" y="0"/>
                      <a:ext cx="4268327" cy="282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C60" w:rsidRDefault="009B0C60"/>
    <w:p w:rsidR="009B0C60" w:rsidRDefault="00C84179">
      <w:r>
        <w:rPr>
          <w:noProof/>
          <w:lang w:eastAsia="ru-RU"/>
        </w:rPr>
        <w:drawing>
          <wp:anchor distT="0" distB="0" distL="114300" distR="114300" simplePos="0" relativeHeight="251845120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100965</wp:posOffset>
            </wp:positionV>
            <wp:extent cx="1190625" cy="1511935"/>
            <wp:effectExtent l="0" t="0" r="9525" b="0"/>
            <wp:wrapSquare wrapText="bothSides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C60" w:rsidRDefault="009B0C60"/>
    <w:p w:rsidR="00E91254" w:rsidRDefault="00E91254"/>
    <w:p w:rsidR="00E91254" w:rsidRDefault="00E91254"/>
    <w:p w:rsidR="00E91254" w:rsidRDefault="00E91254"/>
    <w:p w:rsidR="00E91254" w:rsidRDefault="00E91254"/>
    <w:p w:rsidR="00E91254" w:rsidRDefault="00E91254"/>
    <w:p w:rsidR="00E91254" w:rsidRDefault="00E91254"/>
    <w:p w:rsidR="00AC481A" w:rsidRDefault="00AC481A">
      <w:bookmarkStart w:id="0" w:name="_GoBack"/>
      <w:bookmarkEnd w:id="0"/>
    </w:p>
    <w:p w:rsidR="00AC481A" w:rsidRDefault="00AC481A"/>
    <w:p w:rsidR="00AC481A" w:rsidRDefault="00AC481A"/>
    <w:p w:rsidR="00107864" w:rsidRDefault="00107864"/>
    <w:p w:rsidR="00107864" w:rsidRDefault="00107864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sectPr w:rsidR="00107864" w:rsidSect="00AC481A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28"/>
    <w:rsid w:val="00095528"/>
    <w:rsid w:val="00107864"/>
    <w:rsid w:val="00437597"/>
    <w:rsid w:val="00464677"/>
    <w:rsid w:val="00662424"/>
    <w:rsid w:val="00875E1D"/>
    <w:rsid w:val="00897967"/>
    <w:rsid w:val="009B0C60"/>
    <w:rsid w:val="00AC481A"/>
    <w:rsid w:val="00C4174A"/>
    <w:rsid w:val="00C564C7"/>
    <w:rsid w:val="00C84179"/>
    <w:rsid w:val="00E820AB"/>
    <w:rsid w:val="00E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140D1-FC91-4106-8DC2-09FEC3A7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C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-procentov.ru/deposits/obzor-vkladov-banka-moskvy/" TargetMode="External"/><Relationship Id="rId13" Type="http://schemas.openxmlformats.org/officeDocument/2006/relationships/hyperlink" Target="http://mir-procentov.ru/deposits/vklady-hanty-mansiyskogo-banka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://mir-procentov.ru/deposits/vklady-rosselhozbanka/" TargetMode="External"/><Relationship Id="rId12" Type="http://schemas.openxmlformats.org/officeDocument/2006/relationships/hyperlink" Target="http://mir-procentov.ru/deposits/vklady-banka-fk-otkrytie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ir-procentov.ru/deposits/vklady-gazprombanka/" TargetMode="External"/><Relationship Id="rId11" Type="http://schemas.openxmlformats.org/officeDocument/2006/relationships/hyperlink" Target="http://mir-procentov.ru/deposits/vklady-promsvyazbanka/" TargetMode="External"/><Relationship Id="rId24" Type="http://schemas.openxmlformats.org/officeDocument/2006/relationships/image" Target="media/image11.png"/><Relationship Id="rId5" Type="http://schemas.openxmlformats.org/officeDocument/2006/relationships/hyperlink" Target="http://mir-procentov.ru/deposits/deposits-vtb24/" TargetMode="Externa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://mir-procentov.ru/deposits/vklady-binbanka/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mir-procentov.ru/deposits/deposits-sberbank/" TargetMode="External"/><Relationship Id="rId9" Type="http://schemas.openxmlformats.org/officeDocument/2006/relationships/hyperlink" Target="http://mir-procentov.ru/deposits/deposits-alfa-bank/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Спорт. Секц.</c:v>
                </c:pt>
                <c:pt idx="1">
                  <c:v>творч. Объедин.</c:v>
                </c:pt>
                <c:pt idx="2">
                  <c:v>Шк. Искуств</c:v>
                </c:pt>
                <c:pt idx="3">
                  <c:v>Нигде не заняты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3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2017-03-21T08:08:00Z</dcterms:created>
  <dcterms:modified xsi:type="dcterms:W3CDTF">2019-04-28T17:42:00Z</dcterms:modified>
</cp:coreProperties>
</file>