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B" w:rsidRDefault="0097499B" w:rsidP="0097499B">
      <w:pPr>
        <w:rPr>
          <w:sz w:val="28"/>
          <w:szCs w:val="28"/>
        </w:rPr>
      </w:pPr>
    </w:p>
    <w:p w:rsidR="0097499B" w:rsidRDefault="0097499B" w:rsidP="0097499B">
      <w:pPr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tbl>
      <w:tblPr>
        <w:tblStyle w:val="2-4"/>
        <w:tblW w:w="0" w:type="auto"/>
        <w:tblInd w:w="0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6A0"/>
      </w:tblPr>
      <w:tblGrid>
        <w:gridCol w:w="540"/>
        <w:gridCol w:w="9802"/>
      </w:tblGrid>
      <w:tr w:rsidR="0097499B" w:rsidTr="00562803">
        <w:trPr>
          <w:cnfStyle w:val="100000000000"/>
          <w:trHeight w:val="517"/>
        </w:trPr>
        <w:tc>
          <w:tcPr>
            <w:cnfStyle w:val="001000000100"/>
            <w:tcW w:w="10342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AEEF3" w:themeFill="accent5" w:themeFillTint="33"/>
            <w:vAlign w:val="center"/>
            <w:hideMark/>
          </w:tcPr>
          <w:p w:rsidR="0097499B" w:rsidRDefault="0097499B" w:rsidP="005628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Исследуйте свойства функции 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у =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log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  <w:vertAlign w:val="subscript"/>
              </w:rPr>
              <w:t>a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, 0 &lt;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a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&lt; 1</w:t>
            </w:r>
          </w:p>
        </w:tc>
      </w:tr>
      <w:tr w:rsidR="0097499B" w:rsidTr="00562803">
        <w:trPr>
          <w:trHeight w:val="665"/>
        </w:trPr>
        <w:tc>
          <w:tcPr>
            <w:cnfStyle w:val="001000000000"/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AEEF3" w:themeFill="accent5" w:themeFillTint="33"/>
            <w:hideMark/>
          </w:tcPr>
          <w:p w:rsidR="0097499B" w:rsidRDefault="0097499B" w:rsidP="0056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Что можно сказать о значениях аргумента логарифмической функции </w:t>
            </w:r>
            <w:proofErr w:type="spellStart"/>
            <w:r>
              <w:rPr>
                <w:bCs/>
                <w:sz w:val="24"/>
                <w:szCs w:val="24"/>
              </w:rPr>
              <w:t>х</w:t>
            </w:r>
            <w:proofErr w:type="spellEnd"/>
            <w:r>
              <w:rPr>
                <w:bCs/>
                <w:sz w:val="24"/>
                <w:szCs w:val="24"/>
              </w:rPr>
              <w:t>?</w:t>
            </w:r>
          </w:p>
          <w:p w:rsidR="0097499B" w:rsidRDefault="0097499B" w:rsidP="00562803">
            <w:pPr>
              <w:cnfStyle w:val="000000000000"/>
              <w:rPr>
                <w:bCs/>
                <w:sz w:val="16"/>
                <w:szCs w:val="16"/>
              </w:rPr>
            </w:pP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Вывод: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D(f)=</w:t>
            </w:r>
          </w:p>
        </w:tc>
      </w:tr>
      <w:tr w:rsidR="0097499B" w:rsidTr="00562803">
        <w:trPr>
          <w:trHeight w:val="762"/>
        </w:trPr>
        <w:tc>
          <w:tcPr>
            <w:cnfStyle w:val="001000000000"/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</w:tcBorders>
            <w:shd w:val="clear" w:color="auto" w:fill="DAEEF3" w:themeFill="accent5" w:themeFillTint="33"/>
            <w:hideMark/>
          </w:tcPr>
          <w:p w:rsidR="0097499B" w:rsidRDefault="0097499B" w:rsidP="0056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Какие значения может принимать выражение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log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vertAlign w:val="subscript"/>
              </w:rPr>
              <w:t>a</w:t>
            </w:r>
            <w:proofErr w:type="spellEnd"/>
            <w:r>
              <w:rPr>
                <w:bCs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х</w:t>
            </w:r>
            <w:proofErr w:type="spellEnd"/>
            <w:r>
              <w:rPr>
                <w:bCs/>
                <w:sz w:val="24"/>
                <w:szCs w:val="24"/>
              </w:rPr>
              <w:t xml:space="preserve"> =</w:t>
            </w:r>
            <w:proofErr w:type="gramStart"/>
            <w:r>
              <w:rPr>
                <w:bCs/>
                <w:sz w:val="24"/>
                <w:szCs w:val="24"/>
              </w:rPr>
              <w:t xml:space="preserve"> ?</w:t>
            </w:r>
            <w:proofErr w:type="gramEnd"/>
          </w:p>
          <w:p w:rsidR="0097499B" w:rsidRDefault="0097499B" w:rsidP="00562803">
            <w:pPr>
              <w:cnfStyle w:val="000000000000"/>
              <w:rPr>
                <w:bCs/>
                <w:sz w:val="16"/>
                <w:szCs w:val="16"/>
              </w:rPr>
            </w:pP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Вывод:</w:t>
            </w:r>
            <w:r>
              <w:rPr>
                <w:bCs/>
                <w:sz w:val="24"/>
                <w:szCs w:val="24"/>
              </w:rPr>
              <w:t xml:space="preserve"> Е</w:t>
            </w:r>
            <w:r>
              <w:rPr>
                <w:bCs/>
                <w:sz w:val="24"/>
                <w:szCs w:val="24"/>
                <w:lang w:val="en-US"/>
              </w:rPr>
              <w:t>(f)=</w:t>
            </w:r>
          </w:p>
        </w:tc>
      </w:tr>
      <w:tr w:rsidR="0097499B" w:rsidTr="00562803">
        <w:trPr>
          <w:trHeight w:val="773"/>
        </w:trPr>
        <w:tc>
          <w:tcPr>
            <w:cnfStyle w:val="001000000000"/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AEEF3" w:themeFill="accent5" w:themeFillTint="33"/>
            <w:hideMark/>
          </w:tcPr>
          <w:p w:rsidR="0097499B" w:rsidRDefault="0097499B" w:rsidP="0056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Является ли функция четной, нечетной?</w:t>
            </w:r>
          </w:p>
          <w:p w:rsidR="0097499B" w:rsidRDefault="0097499B" w:rsidP="00562803">
            <w:pPr>
              <w:cnfStyle w:val="000000000000"/>
              <w:rPr>
                <w:bCs/>
                <w:sz w:val="16"/>
                <w:szCs w:val="16"/>
              </w:rPr>
            </w:pP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Вывод:</w:t>
            </w:r>
            <w:r>
              <w:rPr>
                <w:bCs/>
                <w:sz w:val="24"/>
                <w:szCs w:val="24"/>
              </w:rPr>
              <w:t xml:space="preserve"> Функция у = </w:t>
            </w:r>
            <w:proofErr w:type="spellStart"/>
            <w:r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proofErr w:type="gramStart"/>
            <w:r>
              <w:rPr>
                <w:bCs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, 0 &lt; </w:t>
            </w:r>
            <w:proofErr w:type="spellStart"/>
            <w:r>
              <w:rPr>
                <w:bCs/>
                <w:sz w:val="24"/>
                <w:szCs w:val="24"/>
              </w:rPr>
              <w:t>a</w:t>
            </w:r>
            <w:proofErr w:type="spellEnd"/>
            <w:r>
              <w:rPr>
                <w:bCs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>
              <w:rPr>
                <w:bCs/>
                <w:sz w:val="24"/>
                <w:szCs w:val="24"/>
              </w:rPr>
              <w:t>1-………………………………..</w:t>
            </w:r>
          </w:p>
        </w:tc>
      </w:tr>
      <w:tr w:rsidR="0097499B" w:rsidTr="00562803">
        <w:trPr>
          <w:trHeight w:val="799"/>
        </w:trPr>
        <w:tc>
          <w:tcPr>
            <w:cnfStyle w:val="001000000000"/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</w:tcBorders>
            <w:shd w:val="clear" w:color="auto" w:fill="DAEEF3" w:themeFill="accent5" w:themeFillTint="33"/>
            <w:hideMark/>
          </w:tcPr>
          <w:p w:rsidR="0097499B" w:rsidRDefault="0097499B" w:rsidP="0056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Точка пересечения с</w:t>
            </w:r>
            <w:proofErr w:type="gramStart"/>
            <w:r>
              <w:rPr>
                <w:bCs/>
                <w:sz w:val="24"/>
                <w:szCs w:val="24"/>
              </w:rPr>
              <w:t xml:space="preserve"> О</w:t>
            </w:r>
            <w:proofErr w:type="gramEnd"/>
            <w:r>
              <w:rPr>
                <w:bCs/>
                <w:sz w:val="24"/>
                <w:szCs w:val="24"/>
              </w:rPr>
              <w:t>х: у=0</w:t>
            </w:r>
          </w:p>
          <w:p w:rsidR="0097499B" w:rsidRDefault="0097499B" w:rsidP="00562803">
            <w:pPr>
              <w:cnfStyle w:val="000000000000"/>
              <w:rPr>
                <w:bCs/>
                <w:sz w:val="16"/>
                <w:szCs w:val="16"/>
              </w:rPr>
            </w:pP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Вывод:</w:t>
            </w:r>
            <w:r>
              <w:rPr>
                <w:bCs/>
                <w:sz w:val="24"/>
                <w:szCs w:val="24"/>
              </w:rPr>
              <w:t xml:space="preserve"> Функция у = </w:t>
            </w:r>
            <w:proofErr w:type="spellStart"/>
            <w:r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proofErr w:type="gramStart"/>
            <w:r>
              <w:rPr>
                <w:bCs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, 0 &lt; </w:t>
            </w:r>
            <w:proofErr w:type="spellStart"/>
            <w:r>
              <w:rPr>
                <w:bCs/>
                <w:sz w:val="24"/>
                <w:szCs w:val="24"/>
              </w:rPr>
              <w:t>a</w:t>
            </w:r>
            <w:proofErr w:type="spellEnd"/>
            <w:r>
              <w:rPr>
                <w:bCs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>
              <w:rPr>
                <w:bCs/>
                <w:sz w:val="24"/>
                <w:szCs w:val="24"/>
              </w:rPr>
              <w:t>1 пересекает ось Ох в точке (    ;     )</w:t>
            </w:r>
          </w:p>
        </w:tc>
      </w:tr>
      <w:tr w:rsidR="0097499B" w:rsidTr="00562803">
        <w:trPr>
          <w:trHeight w:val="668"/>
        </w:trPr>
        <w:tc>
          <w:tcPr>
            <w:cnfStyle w:val="001000000000"/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AEEF3" w:themeFill="accent5" w:themeFillTint="33"/>
            <w:hideMark/>
          </w:tcPr>
          <w:p w:rsidR="0097499B" w:rsidRDefault="0097499B" w:rsidP="0056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Точка пересечения с </w:t>
            </w:r>
            <w:proofErr w:type="spellStart"/>
            <w:r>
              <w:rPr>
                <w:bCs/>
                <w:sz w:val="24"/>
                <w:szCs w:val="24"/>
              </w:rPr>
              <w:t>Оу</w:t>
            </w:r>
            <w:proofErr w:type="spellEnd"/>
            <w:r>
              <w:rPr>
                <w:bCs/>
                <w:sz w:val="24"/>
                <w:szCs w:val="24"/>
              </w:rPr>
              <w:t>: х=0</w:t>
            </w:r>
          </w:p>
          <w:p w:rsidR="0097499B" w:rsidRDefault="0097499B" w:rsidP="00562803">
            <w:pPr>
              <w:cnfStyle w:val="000000000000"/>
              <w:rPr>
                <w:bCs/>
                <w:sz w:val="16"/>
                <w:szCs w:val="16"/>
              </w:rPr>
            </w:pP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Вывод:</w:t>
            </w:r>
            <w:r>
              <w:rPr>
                <w:bCs/>
                <w:sz w:val="24"/>
                <w:szCs w:val="24"/>
              </w:rPr>
              <w:t xml:space="preserve"> Функция у = </w:t>
            </w:r>
            <w:proofErr w:type="spellStart"/>
            <w:r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proofErr w:type="gramStart"/>
            <w:r>
              <w:rPr>
                <w:bCs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, 0 &lt; </w:t>
            </w:r>
            <w:proofErr w:type="spellStart"/>
            <w:r>
              <w:rPr>
                <w:bCs/>
                <w:sz w:val="24"/>
                <w:szCs w:val="24"/>
              </w:rPr>
              <w:t>a</w:t>
            </w:r>
            <w:proofErr w:type="spellEnd"/>
            <w:r>
              <w:rPr>
                <w:bCs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1……….пересекает ось </w:t>
            </w:r>
            <w:proofErr w:type="spellStart"/>
            <w:r>
              <w:rPr>
                <w:bCs/>
                <w:sz w:val="24"/>
                <w:szCs w:val="24"/>
              </w:rPr>
              <w:t>Оу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7499B" w:rsidTr="00562803">
        <w:trPr>
          <w:trHeight w:val="3983"/>
        </w:trPr>
        <w:tc>
          <w:tcPr>
            <w:cnfStyle w:val="001000000000"/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</w:tcBorders>
            <w:shd w:val="clear" w:color="auto" w:fill="DAEEF3" w:themeFill="accent5" w:themeFillTint="33"/>
            <w:hideMark/>
          </w:tcPr>
          <w:p w:rsidR="0097499B" w:rsidRDefault="0097499B" w:rsidP="0056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Дано: у = </w:t>
            </w:r>
            <w:proofErr w:type="spellStart"/>
            <w:r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proofErr w:type="spellEnd"/>
            <w:r>
              <w:rPr>
                <w:bCs/>
                <w:sz w:val="24"/>
                <w:szCs w:val="24"/>
              </w:rPr>
              <w:t xml:space="preserve">, 0 &lt; </w:t>
            </w:r>
            <w:proofErr w:type="spellStart"/>
            <w:r>
              <w:rPr>
                <w:bCs/>
                <w:sz w:val="24"/>
                <w:szCs w:val="24"/>
              </w:rPr>
              <w:t>a</w:t>
            </w:r>
            <w:proofErr w:type="spellEnd"/>
            <w:r>
              <w:rPr>
                <w:bCs/>
                <w:sz w:val="24"/>
                <w:szCs w:val="24"/>
              </w:rPr>
              <w:t xml:space="preserve"> &lt; 1, х</w:t>
            </w:r>
            <w:proofErr w:type="gramStart"/>
            <w:r>
              <w:rPr>
                <w:b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bCs/>
                <w:sz w:val="24"/>
                <w:szCs w:val="24"/>
              </w:rPr>
              <w:t>&gt;0,</w:t>
            </w:r>
            <w:r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&gt;0  и х</w:t>
            </w:r>
            <w:r>
              <w:rPr>
                <w:bCs/>
                <w:sz w:val="24"/>
                <w:szCs w:val="24"/>
                <w:vertAlign w:val="subscript"/>
              </w:rPr>
              <w:t>1</w:t>
            </w:r>
            <w:r>
              <w:rPr>
                <w:bCs/>
                <w:sz w:val="24"/>
                <w:szCs w:val="24"/>
              </w:rPr>
              <w:t>&lt;</w:t>
            </w:r>
            <w:r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  <w:vertAlign w:val="subscript"/>
              </w:rPr>
              <w:t>2,</w:t>
            </w: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Доказать: 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>1</w:t>
            </w:r>
            <w:r>
              <w:rPr>
                <w:bCs/>
                <w:sz w:val="24"/>
                <w:szCs w:val="24"/>
              </w:rPr>
              <w:t>&gt; 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 xml:space="preserve">, т.е. у = </w:t>
            </w:r>
            <w:proofErr w:type="spellStart"/>
            <w:r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proofErr w:type="gramStart"/>
            <w:r>
              <w:rPr>
                <w:bCs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, 0 &lt; </w:t>
            </w:r>
            <w:proofErr w:type="spellStart"/>
            <w:r>
              <w:rPr>
                <w:bCs/>
                <w:sz w:val="24"/>
                <w:szCs w:val="24"/>
              </w:rPr>
              <w:t>a</w:t>
            </w:r>
            <w:proofErr w:type="spellEnd"/>
            <w:r>
              <w:rPr>
                <w:bCs/>
                <w:sz w:val="24"/>
                <w:szCs w:val="24"/>
              </w:rPr>
              <w:t xml:space="preserve"> &lt; 1 - убывающая</w:t>
            </w: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Доказательство:  Нам надо доказать, что  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 xml:space="preserve">1 </w:t>
            </w:r>
            <w:r>
              <w:rPr>
                <w:bCs/>
                <w:sz w:val="24"/>
                <w:szCs w:val="24"/>
              </w:rPr>
              <w:t>&gt; 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>2.</w:t>
            </w:r>
          </w:p>
          <w:p w:rsidR="0097499B" w:rsidRDefault="0097499B" w:rsidP="00562803">
            <w:pPr>
              <w:ind w:left="1870"/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Предположим, что это не так, т.е. 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 </w:t>
            </w:r>
            <w:r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>2.</w:t>
            </w:r>
            <w:r>
              <w:rPr>
                <w:bCs/>
                <w:sz w:val="24"/>
                <w:szCs w:val="24"/>
              </w:rPr>
              <w:t xml:space="preserve">  (*)</w:t>
            </w:r>
          </w:p>
          <w:p w:rsidR="0097499B" w:rsidRDefault="0097499B" w:rsidP="00562803">
            <w:pPr>
              <w:ind w:left="1870"/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Так как показательная функция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у</w:t>
            </w:r>
            <w:proofErr w:type="gramEnd"/>
            <w:r>
              <w:rPr>
                <w:bCs/>
                <w:sz w:val="24"/>
                <w:szCs w:val="24"/>
              </w:rPr>
              <w:t>=а</w:t>
            </w:r>
            <w:r>
              <w:rPr>
                <w:bCs/>
                <w:sz w:val="24"/>
                <w:szCs w:val="24"/>
                <w:vertAlign w:val="superscript"/>
              </w:rPr>
              <w:t>х</w:t>
            </w:r>
            <w:proofErr w:type="spellEnd"/>
            <w:r>
              <w:rPr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при 0 &lt; </w:t>
            </w:r>
            <w:proofErr w:type="spellStart"/>
            <w:r>
              <w:rPr>
                <w:bCs/>
                <w:sz w:val="24"/>
                <w:szCs w:val="24"/>
              </w:rPr>
              <w:t>a</w:t>
            </w:r>
            <w:proofErr w:type="spellEnd"/>
            <w:r>
              <w:rPr>
                <w:bCs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……………., то из </w:t>
            </w:r>
            <w:r>
              <w:rPr>
                <w:bCs/>
                <w:sz w:val="24"/>
                <w:szCs w:val="24"/>
              </w:rPr>
              <w:t>(*) следует:</w:t>
            </w:r>
          </w:p>
          <w:p w:rsidR="0097499B" w:rsidRDefault="0097499B" w:rsidP="00562803">
            <w:pPr>
              <w:ind w:left="1870"/>
              <w:jc w:val="center"/>
              <w:cnfStyle w:val="000000000000"/>
              <w:rPr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</m:sSup>
            </m:oMath>
            <w:r>
              <w:rPr>
                <w:bCs/>
                <w:sz w:val="24"/>
                <w:szCs w:val="24"/>
              </w:rPr>
              <w:t>.  (**)</w:t>
            </w:r>
          </w:p>
          <w:p w:rsidR="0097499B" w:rsidRDefault="0097499B" w:rsidP="00562803">
            <w:pPr>
              <w:ind w:left="1870"/>
              <w:cnfStyle w:val="000000000000"/>
              <w:rPr>
                <w:bCs/>
                <w:i/>
                <w:sz w:val="24"/>
                <w:szCs w:val="24"/>
              </w:rPr>
            </w:pPr>
          </w:p>
          <w:p w:rsidR="0097499B" w:rsidRDefault="0097499B" w:rsidP="00562803">
            <w:pPr>
              <w:ind w:left="1870"/>
              <w:cnfStyle w:val="000000000000"/>
              <w:rPr>
                <w:bCs/>
                <w:i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Но</w:t>
            </w:r>
            <w:proofErr w:type="gramEnd"/>
            <w:r>
              <w:rPr>
                <w:bCs/>
                <w:i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а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по определению логарифма),</w:t>
            </w:r>
          </w:p>
          <w:p w:rsidR="0097499B" w:rsidRDefault="0097499B" w:rsidP="00562803">
            <w:pPr>
              <w:ind w:left="1870"/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Т.е. неравенство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(**) означает, что х</w:t>
            </w:r>
            <w:proofErr w:type="gramStart"/>
            <w:r>
              <w:rPr>
                <w:b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 </w:t>
            </w:r>
            <w:r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, а это противоречит  условию х</w:t>
            </w:r>
            <w:r>
              <w:rPr>
                <w:bCs/>
                <w:sz w:val="24"/>
                <w:szCs w:val="24"/>
                <w:vertAlign w:val="subscript"/>
              </w:rPr>
              <w:t>1</w:t>
            </w:r>
            <w:r>
              <w:rPr>
                <w:bCs/>
                <w:sz w:val="24"/>
                <w:szCs w:val="24"/>
              </w:rPr>
              <w:t>&lt;</w:t>
            </w:r>
            <w:r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  <w:p w:rsidR="0097499B" w:rsidRDefault="0097499B" w:rsidP="00562803">
            <w:pPr>
              <w:ind w:left="1870"/>
              <w:cnfStyle w:val="0000000000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Таким образом 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>1</w:t>
            </w:r>
            <w:r>
              <w:rPr>
                <w:bCs/>
                <w:sz w:val="24"/>
                <w:szCs w:val="24"/>
              </w:rPr>
              <w:t xml:space="preserve"> ….  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r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 xml:space="preserve">, а значит  у = </w:t>
            </w:r>
            <w:proofErr w:type="spellStart"/>
            <w:r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  <w:vertAlign w:val="subscript"/>
              </w:rPr>
              <w:t>a</w:t>
            </w:r>
            <w:proofErr w:type="gramStart"/>
            <w:r>
              <w:rPr>
                <w:bCs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, 0 &lt; </w:t>
            </w:r>
            <w:proofErr w:type="spellStart"/>
            <w:r>
              <w:rPr>
                <w:bCs/>
                <w:sz w:val="24"/>
                <w:szCs w:val="24"/>
              </w:rPr>
              <w:t>a</w:t>
            </w:r>
            <w:proofErr w:type="spellEnd"/>
            <w:r>
              <w:rPr>
                <w:bCs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>
              <w:rPr>
                <w:bCs/>
                <w:sz w:val="24"/>
                <w:szCs w:val="24"/>
              </w:rPr>
              <w:t>1 является ………………………. функцией</w:t>
            </w: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</w:p>
        </w:tc>
      </w:tr>
      <w:tr w:rsidR="0097499B" w:rsidTr="00562803">
        <w:trPr>
          <w:trHeight w:val="23"/>
        </w:trPr>
        <w:tc>
          <w:tcPr>
            <w:cnfStyle w:val="001000000000"/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AEEF3" w:themeFill="accent5" w:themeFillTint="33"/>
            <w:hideMark/>
          </w:tcPr>
          <w:p w:rsidR="0097499B" w:rsidRDefault="0097499B" w:rsidP="0056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2.15pt;margin-top:54.15pt;width:22.7pt;height:36.3pt;z-index:251663360;mso-position-horizontal-relative:text;mso-position-vertical-relative:text" filled="f" stroked="f">
                  <v:textbox style="mso-next-textbox:#_x0000_s1029">
                    <w:txbxContent>
                      <w:p w:rsidR="0097499B" w:rsidRDefault="0097499B" w:rsidP="009749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</w:t>
                        </w:r>
                      </w:p>
                    </w:txbxContent>
                  </v:textbox>
                </v:shape>
              </w:pict>
            </w:r>
            <w:r>
              <w:rPr>
                <w:bCs/>
                <w:sz w:val="24"/>
                <w:szCs w:val="24"/>
              </w:rPr>
              <w:t xml:space="preserve">Построим график  функции   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=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func>
            </m:oMath>
            <w:r>
              <w:rPr>
                <w:bCs/>
                <w:sz w:val="24"/>
                <w:szCs w:val="24"/>
              </w:rPr>
              <w:t>,  0 &lt; a &lt;</w:t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</w:p>
          <w:tbl>
            <w:tblPr>
              <w:tblStyle w:val="a3"/>
              <w:tblW w:w="0" w:type="auto"/>
              <w:tblInd w:w="0" w:type="dxa"/>
              <w:tblLook w:val="04A0"/>
            </w:tblPr>
            <w:tblGrid>
              <w:gridCol w:w="632"/>
              <w:gridCol w:w="632"/>
              <w:gridCol w:w="632"/>
              <w:gridCol w:w="632"/>
              <w:gridCol w:w="632"/>
            </w:tblGrid>
            <w:tr w:rsidR="0097499B" w:rsidTr="00562803">
              <w:trPr>
                <w:trHeight w:val="253"/>
              </w:trPr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97499B" w:rsidTr="00562803">
              <w:trPr>
                <w:trHeight w:val="263"/>
              </w:trPr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7499B" w:rsidRDefault="0097499B" w:rsidP="00562803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2" type="#_x0000_t19" style="position:absolute;margin-left:-.6pt;margin-top:7.45pt;width:63.1pt;height:146.25pt;flip:x y;z-index:251666432;mso-position-horizontal-relative:text;mso-position-vertical-relative:text" coordsize="20911,21600" adj="-5915082,-1016159,97" path="wr-21503,,21697,43200,,,20911,15826nfewr-21503,,21697,43200,,,20911,15826l97,21600nsxe" strokecolor="#d99594 [1941]" strokeweight="2.25pt">
                  <v:path o:connectlocs="0,0;20911,15826;97,21600"/>
                </v:shape>
              </w:pict>
            </w: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</w:rPr>
              <w:pict>
                <v:shape id="_x0000_s1045" type="#_x0000_t202" style="position:absolute;margin-left:5.85pt;margin-top:25.1pt;width:75.5pt;height:25.6pt;z-index:251669504" stroked="f">
                  <v:textbox style="mso-next-textbox:#_x0000_s1045">
                    <w:txbxContent>
                      <w:p w:rsidR="0097499B" w:rsidRDefault="0097499B" w:rsidP="0097499B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t>у=а</w:t>
                        </w:r>
                        <w:r>
                          <w:rPr>
                            <w:vertAlign w:val="superscript"/>
                          </w:rPr>
                          <w:t>х</w:t>
                        </w:r>
                        <w:proofErr w:type="spellEnd"/>
                        <w:r>
                          <w:t>,</w:t>
                        </w:r>
                        <w:r>
                          <w:rPr>
                            <w:rFonts w:asciiTheme="majorHAnsi" w:hAnsiTheme="majorHAnsi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t xml:space="preserve">0 &lt;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t xml:space="preserve"> &lt;1 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eastAsiaTheme="minorHAnsi" w:hAnsiTheme="minorHAnsi" w:cstheme="minorBid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2.15pt;margin-top:2.5pt;width:.05pt;height:204.9pt;flip:y;z-index:251660288" o:connectortype="straight">
                  <v:stroke endarrow="block"/>
                </v:shape>
              </w:pict>
            </w:r>
            <w:r>
              <w:rPr>
                <w:rFonts w:asciiTheme="minorHAnsi" w:eastAsiaTheme="minorHAnsi" w:hAnsiTheme="minorHAnsi" w:cstheme="minorBidi"/>
              </w:rPr>
              <w:pict>
                <v:shape id="_x0000_s1044" type="#_x0000_t202" style="position:absolute;margin-left:148.4pt;margin-top:45.65pt;width:35.1pt;height:25.6pt;z-index:251668480" stroked="f">
                  <v:textbox style="mso-next-textbox:#_x0000_s1044">
                    <w:txbxContent>
                      <w:p w:rsidR="0097499B" w:rsidRDefault="0097499B" w:rsidP="0097499B">
                        <w:proofErr w:type="spellStart"/>
                        <w:r>
                          <w:t>у=х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Theme="minorHAnsi" w:eastAsiaTheme="minorHAnsi" w:hAnsiTheme="minorHAnsi" w:cstheme="minorBidi"/>
              </w:rPr>
              <w:pict>
                <v:shape id="_x0000_s1043" type="#_x0000_t32" style="position:absolute;margin-left:-.6pt;margin-top:50.7pt;width:147.05pt;height:136.15pt;flip:y;z-index:251667456" o:connectortype="straight">
                  <v:stroke dashstyle="dash"/>
                </v:shape>
              </w:pict>
            </w:r>
            <w:r>
              <w:rPr>
                <w:rFonts w:asciiTheme="minorHAnsi" w:eastAsiaTheme="minorHAnsi" w:hAnsiTheme="minorHAnsi" w:cstheme="minorBidi"/>
              </w:rPr>
              <w:pict>
                <v:shape id="_x0000_s1030" type="#_x0000_t202" style="position:absolute;margin-left:23.45pt;margin-top:123.9pt;width:22.7pt;height:36.3pt;z-index:251664384" filled="f" stroked="f">
                  <v:textbox style="mso-next-textbox:#_x0000_s1030">
                    <w:txbxContent>
                      <w:p w:rsidR="0097499B" w:rsidRDefault="0097499B" w:rsidP="009749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eastAsiaTheme="minorHAnsi" w:hAnsiTheme="minorHAnsi" w:cstheme="minorBidi"/>
              </w:rPr>
              <w:pict>
                <v:shape id="_x0000_s1028" type="#_x0000_t202" style="position:absolute;margin-left:230.35pt;margin-top:127.3pt;width:22.7pt;height:36.3pt;z-index:251662336" filled="f" stroked="f">
                  <v:textbox style="mso-next-textbox:#_x0000_s1028">
                    <w:txbxContent>
                      <w:p w:rsidR="0097499B" w:rsidRDefault="0097499B" w:rsidP="0097499B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Theme="minorHAnsi" w:eastAsiaTheme="minorHAnsi" w:hAnsiTheme="minorHAnsi" w:cstheme="minorBidi"/>
              </w:rPr>
              <w:pict>
                <v:shape id="_x0000_s1027" type="#_x0000_t32" style="position:absolute;margin-left:5.85pt;margin-top:148.85pt;width:236.4pt;height:0;z-index:251661312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05480" cy="2835910"/>
                  <wp:effectExtent l="19050" t="0" r="0" b="0"/>
                  <wp:docPr id="2" name="Рисунок 1" descr="bumag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umag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9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480" cy="283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99B" w:rsidRDefault="0097499B" w:rsidP="00562803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Вывод: </w:t>
            </w:r>
            <w:r>
              <w:rPr>
                <w:bCs/>
                <w:sz w:val="24"/>
                <w:szCs w:val="24"/>
              </w:rPr>
              <w:t xml:space="preserve">Графики  функций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=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log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a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у=а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 0 &lt;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&lt; 1 …………………………. Относительно прямой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у=х</w:t>
            </w:r>
            <w:proofErr w:type="spellEnd"/>
          </w:p>
          <w:p w:rsidR="0097499B" w:rsidRDefault="0097499B" w:rsidP="00562803">
            <w:pPr>
              <w:cnfStyle w:val="000000000000"/>
              <w:rPr>
                <w:bCs/>
                <w:sz w:val="24"/>
                <w:szCs w:val="24"/>
              </w:rPr>
            </w:pPr>
          </w:p>
        </w:tc>
      </w:tr>
    </w:tbl>
    <w:p w:rsidR="009D1E08" w:rsidRDefault="009D1E08"/>
    <w:sectPr w:rsidR="009D1E08" w:rsidSect="0097499B"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499B"/>
    <w:rsid w:val="008D7674"/>
    <w:rsid w:val="0097499B"/>
    <w:rsid w:val="009D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42"/>
        <o:r id="V:Rule4" type="connector" idref="#_x0000_s1043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9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1"/>
    <w:uiPriority w:val="66"/>
    <w:rsid w:val="00974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749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2011-01-20T05:56:00Z</dcterms:created>
  <dcterms:modified xsi:type="dcterms:W3CDTF">2011-01-20T06:05:00Z</dcterms:modified>
</cp:coreProperties>
</file>