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E6" w:rsidRPr="00F00591" w:rsidRDefault="008F60E6" w:rsidP="008F60E6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F00591">
        <w:rPr>
          <w:rFonts w:ascii="Times New Roman" w:hAnsi="Times New Roman"/>
          <w:b/>
          <w:sz w:val="24"/>
          <w:szCs w:val="28"/>
        </w:rPr>
        <w:t>П</w:t>
      </w:r>
      <w:r>
        <w:rPr>
          <w:rFonts w:ascii="Times New Roman" w:hAnsi="Times New Roman"/>
          <w:b/>
          <w:sz w:val="24"/>
          <w:szCs w:val="28"/>
        </w:rPr>
        <w:t>риложение 5</w:t>
      </w: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КРАТКИЙ</w:t>
      </w: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591">
        <w:rPr>
          <w:rFonts w:ascii="Times New Roman" w:hAnsi="Times New Roman"/>
          <w:b/>
          <w:sz w:val="28"/>
          <w:szCs w:val="28"/>
        </w:rPr>
        <w:t>АНАЛИТИЧЕСКИЙ КОММЕНТАРИЙ</w:t>
      </w: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0E6" w:rsidRDefault="008F60E6" w:rsidP="008F6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настоящем аналитическом комментарии обосновывается эффективность и результативность организации деятельности учащихся в рамках освоения дополнительной общеобразовательной – дополнительной общеразвивающей программы «Личность и история России в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0B4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B4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веках» (далее - Программа). </w:t>
      </w:r>
    </w:p>
    <w:p w:rsidR="008F60E6" w:rsidRPr="000B41B5" w:rsidRDefault="008F60E6" w:rsidP="008F6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Ежегодно в составе кружка, реализуемого по Программе, входит от 10 до 12 учащихся 11 классов. Это учащиеся, которые свей </w:t>
      </w:r>
      <w:proofErr w:type="gramStart"/>
      <w:r>
        <w:rPr>
          <w:rFonts w:ascii="Times New Roman" w:hAnsi="Times New Roman"/>
          <w:sz w:val="28"/>
          <w:szCs w:val="28"/>
        </w:rPr>
        <w:t>целью</w:t>
      </w:r>
      <w:proofErr w:type="gramEnd"/>
      <w:r>
        <w:rPr>
          <w:rFonts w:ascii="Times New Roman" w:hAnsi="Times New Roman"/>
          <w:sz w:val="28"/>
          <w:szCs w:val="28"/>
        </w:rPr>
        <w:t xml:space="preserve"> имеют расширение базовых знаний по истории. На изучение учебного предмета «История» на базовом в МБОУ «Гимназия № 2» согласно учебному плану в 11 классе (</w:t>
      </w:r>
      <w:proofErr w:type="spellStart"/>
      <w:r>
        <w:rPr>
          <w:rFonts w:ascii="Times New Roman" w:hAnsi="Times New Roman"/>
          <w:sz w:val="28"/>
          <w:szCs w:val="28"/>
        </w:rPr>
        <w:t>ФкГОС</w:t>
      </w:r>
      <w:proofErr w:type="spellEnd"/>
      <w:r>
        <w:rPr>
          <w:rFonts w:ascii="Times New Roman" w:hAnsi="Times New Roman"/>
          <w:sz w:val="28"/>
          <w:szCs w:val="28"/>
        </w:rPr>
        <w:t xml:space="preserve"> СОО) отводится 2 часа в неделю. Традиционно выделяется группа старшеклассников, которые стремятся повысить уровень собственного кругозора, а также расширить знания по истории страны и мира. Кроме этого, эти учащиеся осознают необходимость повышения уровня функциональной грамотности, исследовательских компетенций.</w:t>
      </w:r>
    </w:p>
    <w:p w:rsidR="008F60E6" w:rsidRDefault="008F60E6" w:rsidP="008F6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CA0C53">
        <w:rPr>
          <w:rFonts w:ascii="Times New Roman" w:hAnsi="Times New Roman" w:cs="Times New Roman"/>
          <w:sz w:val="28"/>
          <w:szCs w:val="24"/>
        </w:rPr>
        <w:t>Формирование устойчивых компетенций обеспечивается через систематическое участие в мероприятиях различного уровня.</w:t>
      </w:r>
      <w:r>
        <w:rPr>
          <w:rFonts w:ascii="Times New Roman" w:hAnsi="Times New Roman" w:cs="Times New Roman"/>
          <w:sz w:val="28"/>
          <w:szCs w:val="24"/>
        </w:rPr>
        <w:t xml:space="preserve"> Учащиеся, которые </w:t>
      </w:r>
      <w:proofErr w:type="gramStart"/>
      <w:r>
        <w:rPr>
          <w:rFonts w:ascii="Times New Roman" w:hAnsi="Times New Roman" w:cs="Times New Roman"/>
          <w:sz w:val="28"/>
          <w:szCs w:val="24"/>
        </w:rPr>
        <w:t>занимаются по Программе ежегодно принимают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участие в творческих конкурсах, научно-практических конференциях школьного, муниципального, регионального, всероссийского и международного уровней. </w:t>
      </w:r>
    </w:p>
    <w:p w:rsidR="008F60E6" w:rsidRDefault="008F60E6" w:rsidP="008F6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На современном этапе развития образования актуальным является вопрос интеграции общего и дополнительного образования. Часть </w:t>
      </w:r>
      <w:proofErr w:type="gramStart"/>
      <w:r>
        <w:rPr>
          <w:rFonts w:ascii="Times New Roman" w:hAnsi="Times New Roman" w:cs="Times New Roman"/>
          <w:sz w:val="28"/>
          <w:szCs w:val="24"/>
        </w:rPr>
        <w:t>выпускников, занимающихся по Программе сдают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государственную итоговую аттестацию по истории в формате единого государственного экзамена. Традиционно средний балл держится на уровне 70 баллов, что превышает средние показатели по Республике Коми и Российской Федерации, при этом 50% выпускников относятся к категории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высокобалльников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(от 80 баллов и выше). Другая часть выпускников, не сдающая ЕГЭ по истории, применяют полученные знания и навыки в ходе представления результатов деятельности на конкурсах и научных конференций. </w:t>
      </w:r>
    </w:p>
    <w:p w:rsidR="008F60E6" w:rsidRPr="00CA0C53" w:rsidRDefault="008F60E6" w:rsidP="008F60E6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Достижения </w:t>
      </w:r>
      <w:r w:rsidRPr="00E45FBB">
        <w:rPr>
          <w:rFonts w:ascii="Times New Roman" w:hAnsi="Times New Roman"/>
          <w:iCs/>
          <w:sz w:val="28"/>
          <w:szCs w:val="28"/>
        </w:rPr>
        <w:t xml:space="preserve"> учащихся по представлению </w:t>
      </w: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творческих работ </w:t>
      </w:r>
      <w:r w:rsidRPr="00E45FBB">
        <w:rPr>
          <w:rFonts w:ascii="Times New Roman" w:hAnsi="Times New Roman"/>
          <w:iCs/>
          <w:sz w:val="28"/>
          <w:szCs w:val="28"/>
        </w:rPr>
        <w:t>на конкурсах и научных  конференциях:</w:t>
      </w:r>
    </w:p>
    <w:p w:rsidR="008F60E6" w:rsidRDefault="008F60E6" w:rsidP="008F60E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 период 2017 – 2019 гг.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2835"/>
        <w:gridCol w:w="992"/>
        <w:gridCol w:w="1843"/>
      </w:tblGrid>
      <w:tr w:rsidR="008F60E6" w:rsidRPr="00E45FBB" w:rsidTr="00983A5F">
        <w:tc>
          <w:tcPr>
            <w:tcW w:w="56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99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843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8F60E6" w:rsidRPr="00E45FBB" w:rsidTr="00983A5F">
        <w:tc>
          <w:tcPr>
            <w:tcW w:w="56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60E6" w:rsidRPr="00E45FBB" w:rsidTr="00983A5F">
        <w:tc>
          <w:tcPr>
            <w:tcW w:w="9464" w:type="dxa"/>
            <w:gridSpan w:val="5"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Муниципальный уровень</w:t>
            </w:r>
          </w:p>
        </w:tc>
      </w:tr>
      <w:tr w:rsidR="008F60E6" w:rsidRPr="00E45FBB" w:rsidTr="00983A5F">
        <w:tc>
          <w:tcPr>
            <w:tcW w:w="562" w:type="dxa"/>
          </w:tcPr>
          <w:p w:rsidR="008F60E6" w:rsidRPr="00E45FBB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32" w:type="dxa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Муниципальная конференция «Покровские встречи»</w:t>
            </w:r>
          </w:p>
        </w:tc>
        <w:tc>
          <w:tcPr>
            <w:tcW w:w="2835" w:type="dxa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МОГО «Инта»</w:t>
            </w:r>
          </w:p>
        </w:tc>
        <w:tc>
          <w:tcPr>
            <w:tcW w:w="992" w:type="dxa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Pr="00E45FBB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7458">
              <w:rPr>
                <w:rFonts w:ascii="Times New Roman" w:hAnsi="Times New Roman"/>
                <w:sz w:val="28"/>
                <w:szCs w:val="24"/>
              </w:rPr>
              <w:t>ХХ муниципальная научно-практическая конференция «Эврика»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4"/>
                <w:lang w:eastAsia="en-US"/>
              </w:rPr>
              <w:t>Отдел образования администрации МОГО «Инта»</w:t>
            </w:r>
          </w:p>
        </w:tc>
        <w:tc>
          <w:tcPr>
            <w:tcW w:w="992" w:type="dxa"/>
            <w:vMerge w:val="restart"/>
            <w:vAlign w:val="center"/>
          </w:tcPr>
          <w:p w:rsidR="008F60E6" w:rsidRPr="008D7458" w:rsidRDefault="008F60E6" w:rsidP="00983A5F">
            <w:pPr>
              <w:pStyle w:val="a6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  <w:p w:rsidR="008F60E6" w:rsidRPr="008D7458" w:rsidRDefault="008F60E6" w:rsidP="00983A5F">
            <w:pPr>
              <w:pStyle w:val="a6"/>
              <w:jc w:val="center"/>
              <w:rPr>
                <w:sz w:val="28"/>
                <w:szCs w:val="24"/>
              </w:rPr>
            </w:pPr>
          </w:p>
        </w:tc>
        <w:tc>
          <w:tcPr>
            <w:tcW w:w="1843" w:type="dxa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rPr>
          <w:trHeight w:val="70"/>
        </w:trPr>
        <w:tc>
          <w:tcPr>
            <w:tcW w:w="562" w:type="dxa"/>
            <w:vMerge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pStyle w:val="a6"/>
              <w:jc w:val="center"/>
              <w:rPr>
                <w:sz w:val="28"/>
                <w:szCs w:val="24"/>
              </w:rPr>
            </w:pPr>
          </w:p>
        </w:tc>
        <w:tc>
          <w:tcPr>
            <w:tcW w:w="1843" w:type="dxa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9464" w:type="dxa"/>
            <w:gridSpan w:val="5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Республиканский уровень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45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8D7458">
              <w:rPr>
                <w:rFonts w:ascii="Times New Roman" w:hAnsi="Times New Roman"/>
                <w:sz w:val="28"/>
                <w:szCs w:val="28"/>
              </w:rPr>
              <w:t xml:space="preserve"> Межрегиональная конференция «</w:t>
            </w:r>
            <w:proofErr w:type="spellStart"/>
            <w:r w:rsidRPr="008D7458">
              <w:rPr>
                <w:rFonts w:ascii="Times New Roman" w:hAnsi="Times New Roman"/>
                <w:sz w:val="28"/>
                <w:szCs w:val="28"/>
              </w:rPr>
              <w:t>Спиридоновские</w:t>
            </w:r>
            <w:proofErr w:type="spellEnd"/>
            <w:r w:rsidRPr="008D7458">
              <w:rPr>
                <w:rFonts w:ascii="Times New Roman" w:hAnsi="Times New Roman"/>
                <w:sz w:val="28"/>
                <w:szCs w:val="28"/>
              </w:rPr>
              <w:t xml:space="preserve"> чтения» (заочное участие с публикацией в сборнике)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молодежной политики Республики Коми</w:t>
            </w:r>
          </w:p>
        </w:tc>
        <w:tc>
          <w:tcPr>
            <w:tcW w:w="992" w:type="dxa"/>
            <w:vMerge w:val="restart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pStyle w:val="12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8D7458">
              <w:rPr>
                <w:b w:val="0"/>
                <w:sz w:val="28"/>
                <w:szCs w:val="28"/>
                <w:lang w:val="en-US"/>
              </w:rPr>
              <w:t>XV</w:t>
            </w:r>
            <w:r w:rsidRPr="008D7458">
              <w:rPr>
                <w:b w:val="0"/>
                <w:sz w:val="28"/>
                <w:szCs w:val="28"/>
              </w:rPr>
              <w:t xml:space="preserve"> Региональная молодежная научно-практическая конференция-конкурс «Интеграция»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458"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молодежной политики Республики Коми</w:t>
            </w:r>
          </w:p>
          <w:p w:rsidR="008F60E6" w:rsidRPr="008D7458" w:rsidRDefault="008F60E6" w:rsidP="00983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sz w:val="28"/>
                <w:szCs w:val="28"/>
              </w:rPr>
              <w:t>ФБГОУ  ВПО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УГТУ»</w:t>
            </w:r>
          </w:p>
        </w:tc>
        <w:tc>
          <w:tcPr>
            <w:tcW w:w="992" w:type="dxa"/>
            <w:vMerge w:val="restart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745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IV</w:t>
            </w:r>
            <w:r w:rsidRPr="008D7458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Республиканская межшкольная учебно-исследовательская конференция учащихся образовательных организаций Республики Коми «Первые шаги»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lang w:eastAsia="en-US"/>
              </w:rPr>
              <w:t>Министерство образования, науки и молодежной политики Республики Коми</w:t>
            </w:r>
          </w:p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32" w:type="dxa"/>
            <w:vMerge w:val="restart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lang w:eastAsia="en-US"/>
              </w:rPr>
              <w:t>ХХ Республиканская конференция участников туристско-краеведческого движения «Отечество – Земля Коми»</w:t>
            </w:r>
          </w:p>
        </w:tc>
        <w:tc>
          <w:tcPr>
            <w:tcW w:w="2835" w:type="dxa"/>
            <w:vMerge w:val="restart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lang w:eastAsia="en-US"/>
              </w:rPr>
              <w:t>Министерство образования, науки и молодежной политики Республики Коми</w:t>
            </w:r>
          </w:p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F60E6" w:rsidRPr="00E45FBB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szCs w:val="28"/>
                <w:lang w:eastAsia="en-US"/>
              </w:rPr>
              <w:t>Диплом  Специальный приз общества «Покаяние»</w:t>
            </w:r>
          </w:p>
        </w:tc>
      </w:tr>
      <w:tr w:rsidR="008F60E6" w:rsidRPr="00E45FBB" w:rsidTr="00983A5F">
        <w:tc>
          <w:tcPr>
            <w:tcW w:w="562" w:type="dxa"/>
            <w:vMerge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Диплом  </w:t>
            </w:r>
          </w:p>
        </w:tc>
      </w:tr>
      <w:tr w:rsidR="008F60E6" w:rsidRPr="00E45FBB" w:rsidTr="00983A5F">
        <w:tc>
          <w:tcPr>
            <w:tcW w:w="562" w:type="dxa"/>
            <w:vMerge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szCs w:val="28"/>
                <w:lang w:eastAsia="en-US"/>
              </w:rPr>
              <w:t>Сертификат</w:t>
            </w:r>
          </w:p>
        </w:tc>
      </w:tr>
      <w:tr w:rsidR="008F60E6" w:rsidRPr="00E45FBB" w:rsidTr="00983A5F">
        <w:tc>
          <w:tcPr>
            <w:tcW w:w="9464" w:type="dxa"/>
            <w:gridSpan w:val="5"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Всероссийский уровень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Pr="00B50DA4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8"/>
                <w:lang w:eastAsia="en-US"/>
              </w:rPr>
              <w:t>Научно-практическая международная конференция</w:t>
            </w:r>
          </w:p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8"/>
                <w:lang w:eastAsia="en-US"/>
              </w:rPr>
              <w:t>«Уроки обреченной веры», посвященной 100-летию  Октябрьской</w:t>
            </w:r>
          </w:p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революции и 135-летию со дня рождения Л.П. </w:t>
            </w:r>
            <w:proofErr w:type="spellStart"/>
            <w:r w:rsidRPr="008D7458">
              <w:rPr>
                <w:rFonts w:ascii="Times New Roman" w:hAnsi="Times New Roman"/>
                <w:sz w:val="28"/>
                <w:szCs w:val="28"/>
                <w:lang w:eastAsia="en-US"/>
              </w:rPr>
              <w:t>Карсавина</w:t>
            </w:r>
            <w:proofErr w:type="spellEnd"/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7458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МКУ «Интинский краеведческий музей»</w:t>
            </w:r>
          </w:p>
        </w:tc>
        <w:tc>
          <w:tcPr>
            <w:tcW w:w="992" w:type="dxa"/>
            <w:vMerge w:val="restart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XIX</w:t>
            </w:r>
            <w:r w:rsidRPr="008D74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Всероссийская с международным участием научно-практическая конференция школьников</w:t>
            </w:r>
          </w:p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7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D7458">
              <w:rPr>
                <w:rFonts w:ascii="Times New Roman" w:hAnsi="Times New Roman" w:cs="Times New Roman"/>
                <w:sz w:val="28"/>
                <w:szCs w:val="28"/>
              </w:rPr>
              <w:t xml:space="preserve">  наукой в будущее»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iCs/>
                <w:sz w:val="28"/>
                <w:szCs w:val="28"/>
              </w:rPr>
              <w:t>ФГБОУВО «Череповецкий государственный университет,</w:t>
            </w:r>
          </w:p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iCs/>
                <w:sz w:val="28"/>
                <w:szCs w:val="28"/>
              </w:rPr>
              <w:t>МБОУ «Гимназия»</w:t>
            </w:r>
          </w:p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sz w:val="28"/>
                <w:szCs w:val="28"/>
              </w:rPr>
              <w:t>г. Великий Устюг</w:t>
            </w: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FBB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32" w:type="dxa"/>
            <w:vMerge w:val="restart"/>
          </w:tcPr>
          <w:p w:rsidR="008F60E6" w:rsidRPr="008D7458" w:rsidRDefault="008F60E6" w:rsidP="00983A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8D745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научно-практическая конференция «Молодые исследователи»</w:t>
            </w:r>
          </w:p>
        </w:tc>
        <w:tc>
          <w:tcPr>
            <w:tcW w:w="2835" w:type="dxa"/>
            <w:vMerge w:val="restart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458">
              <w:rPr>
                <w:rFonts w:ascii="Times New Roman" w:hAnsi="Times New Roman"/>
                <w:sz w:val="28"/>
                <w:szCs w:val="28"/>
              </w:rPr>
              <w:t>НИУ Высшая школа экономики,</w:t>
            </w:r>
          </w:p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458">
              <w:rPr>
                <w:rFonts w:ascii="Times New Roman" w:hAnsi="Times New Roman"/>
                <w:sz w:val="28"/>
                <w:szCs w:val="28"/>
              </w:rPr>
              <w:t>Фонд поддержки образования, ГБОУ «Гимназия № 11»</w:t>
            </w:r>
          </w:p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458">
              <w:rPr>
                <w:rFonts w:ascii="Times New Roman" w:hAnsi="Times New Roman"/>
                <w:sz w:val="28"/>
                <w:szCs w:val="28"/>
              </w:rPr>
              <w:t>(г. Санкт-Петербург)</w:t>
            </w:r>
          </w:p>
        </w:tc>
        <w:tc>
          <w:tcPr>
            <w:tcW w:w="992" w:type="dxa"/>
            <w:vMerge w:val="restart"/>
          </w:tcPr>
          <w:p w:rsidR="008F60E6" w:rsidRPr="008D7458" w:rsidRDefault="008F60E6" w:rsidP="00983A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4"/>
                <w:lang w:eastAsia="en-US"/>
              </w:rPr>
              <w:t>Диплом призера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273D12" w:rsidRDefault="008F60E6" w:rsidP="00983A5F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8F60E6" w:rsidRPr="00680569" w:rsidRDefault="008F60E6" w:rsidP="00983A5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60E6" w:rsidRPr="008D7458" w:rsidRDefault="008F60E6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F60E6" w:rsidRPr="008D7458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8D7458">
              <w:rPr>
                <w:rFonts w:ascii="Times New Roman" w:hAnsi="Times New Roman"/>
                <w:sz w:val="28"/>
                <w:szCs w:val="24"/>
                <w:lang w:eastAsia="en-US"/>
              </w:rPr>
              <w:t>Диплом участника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32" w:type="dxa"/>
            <w:vMerge w:val="restart"/>
            <w:vAlign w:val="center"/>
          </w:tcPr>
          <w:p w:rsidR="008F60E6" w:rsidRPr="00B50DA4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bCs/>
                <w:sz w:val="28"/>
                <w:szCs w:val="28"/>
              </w:rPr>
              <w:t>XVIII Всероссийский конкурс</w:t>
            </w:r>
            <w:r w:rsidRPr="00B50DA4">
              <w:rPr>
                <w:rFonts w:ascii="Times New Roman" w:hAnsi="Times New Roman"/>
                <w:sz w:val="28"/>
                <w:szCs w:val="28"/>
              </w:rPr>
              <w:br/>
            </w:r>
            <w:r w:rsidRPr="00B50DA4">
              <w:rPr>
                <w:rFonts w:ascii="Times New Roman" w:hAnsi="Times New Roman"/>
                <w:bCs/>
                <w:sz w:val="28"/>
                <w:szCs w:val="28"/>
              </w:rPr>
              <w:t>исторических исследовательских работ</w:t>
            </w:r>
            <w:r w:rsidRPr="00B50DA4">
              <w:rPr>
                <w:rFonts w:ascii="Times New Roman" w:hAnsi="Times New Roman"/>
                <w:sz w:val="28"/>
                <w:szCs w:val="28"/>
              </w:rPr>
              <w:br/>
            </w:r>
            <w:r w:rsidRPr="00B50DA4">
              <w:rPr>
                <w:rFonts w:ascii="Times New Roman" w:hAnsi="Times New Roman"/>
                <w:bCs/>
                <w:sz w:val="28"/>
                <w:szCs w:val="28"/>
              </w:rPr>
              <w:t>«Человек в истории. Россия – ХХ век»</w:t>
            </w:r>
          </w:p>
        </w:tc>
        <w:tc>
          <w:tcPr>
            <w:tcW w:w="2835" w:type="dxa"/>
            <w:vMerge w:val="restart"/>
            <w:vAlign w:val="center"/>
          </w:tcPr>
          <w:p w:rsidR="008F60E6" w:rsidRPr="00B50DA4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sz w:val="28"/>
                <w:szCs w:val="28"/>
              </w:rPr>
              <w:t xml:space="preserve">Международное историко-просветительское и правозащитное общество </w:t>
            </w:r>
          </w:p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sz w:val="28"/>
                <w:szCs w:val="28"/>
              </w:rPr>
              <w:t>«Мемориал»</w:t>
            </w:r>
          </w:p>
        </w:tc>
        <w:tc>
          <w:tcPr>
            <w:tcW w:w="992" w:type="dxa"/>
            <w:vMerge w:val="restart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lang w:eastAsia="en-US"/>
              </w:rPr>
              <w:t>Грамота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lang w:eastAsia="en-US"/>
              </w:rPr>
              <w:t>Грамота</w:t>
            </w: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lang w:eastAsia="en-US"/>
              </w:rPr>
              <w:t>Грамота</w:t>
            </w:r>
          </w:p>
        </w:tc>
      </w:tr>
      <w:tr w:rsidR="008F60E6" w:rsidRPr="00E45FBB" w:rsidTr="00983A5F">
        <w:tc>
          <w:tcPr>
            <w:tcW w:w="562" w:type="dxa"/>
            <w:vMerge w:val="restart"/>
          </w:tcPr>
          <w:p w:rsidR="008F60E6" w:rsidRDefault="008F60E6" w:rsidP="00983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32" w:type="dxa"/>
            <w:vMerge w:val="restart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ая конференция «Отечество</w:t>
            </w:r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835" w:type="dxa"/>
            <w:vMerge w:val="restart"/>
          </w:tcPr>
          <w:p w:rsidR="008F60E6" w:rsidRPr="00B50DA4" w:rsidRDefault="008F60E6" w:rsidP="00983A5F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Министерство образования и науки РФ, ФГБОУ </w:t>
            </w:r>
            <w:proofErr w:type="gramStart"/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>ДО</w:t>
            </w:r>
            <w:proofErr w:type="gramEnd"/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«</w:t>
            </w:r>
            <w:proofErr w:type="gramStart"/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>Федеральный</w:t>
            </w:r>
            <w:proofErr w:type="gramEnd"/>
            <w:r w:rsidRPr="00B50DA4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центр детско-юношеского туризма и краеведения»</w:t>
            </w:r>
          </w:p>
        </w:tc>
        <w:tc>
          <w:tcPr>
            <w:tcW w:w="992" w:type="dxa"/>
            <w:vMerge w:val="restart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F60E6" w:rsidRPr="00B50DA4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sz w:val="28"/>
                <w:szCs w:val="28"/>
              </w:rPr>
              <w:t>Участник заочного этапа</w:t>
            </w:r>
          </w:p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0E6" w:rsidRPr="00E45FBB" w:rsidTr="00983A5F">
        <w:tc>
          <w:tcPr>
            <w:tcW w:w="56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8F60E6" w:rsidRPr="00E22B45" w:rsidRDefault="008F60E6" w:rsidP="00983A5F">
            <w:pPr>
              <w:pStyle w:val="a4"/>
              <w:jc w:val="both"/>
              <w:rPr>
                <w:lang w:eastAsia="en-US"/>
              </w:rPr>
            </w:pPr>
          </w:p>
        </w:tc>
        <w:tc>
          <w:tcPr>
            <w:tcW w:w="2835" w:type="dxa"/>
            <w:vMerge/>
          </w:tcPr>
          <w:p w:rsidR="008F60E6" w:rsidRPr="00E22B45" w:rsidRDefault="008F60E6" w:rsidP="00983A5F">
            <w:pPr>
              <w:pStyle w:val="a4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0E6" w:rsidRDefault="008F60E6" w:rsidP="00983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DA4">
              <w:rPr>
                <w:rFonts w:ascii="Times New Roman" w:hAnsi="Times New Roman"/>
                <w:sz w:val="28"/>
                <w:szCs w:val="28"/>
              </w:rPr>
              <w:t>Дипломант очного этапа</w:t>
            </w:r>
          </w:p>
        </w:tc>
      </w:tr>
    </w:tbl>
    <w:p w:rsidR="00E5185A" w:rsidRPr="008F60E6" w:rsidRDefault="00E5185A">
      <w:pPr>
        <w:rPr>
          <w:lang w:val="en-US"/>
        </w:rPr>
      </w:pPr>
      <w:bookmarkStart w:id="0" w:name="_GoBack"/>
      <w:bookmarkEnd w:id="0"/>
    </w:p>
    <w:sectPr w:rsidR="00E5185A" w:rsidRPr="008F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E6"/>
    <w:rsid w:val="008F60E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1">
    <w:name w:val="Заголовок №1_"/>
    <w:link w:val="12"/>
    <w:rsid w:val="008F60E6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F60E6"/>
    <w:pPr>
      <w:widowControl w:val="0"/>
      <w:shd w:val="clear" w:color="auto" w:fill="FFFFFF"/>
      <w:spacing w:before="300"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4">
    <w:name w:val="No Spacing"/>
    <w:link w:val="a5"/>
    <w:uiPriority w:val="1"/>
    <w:qFormat/>
    <w:rsid w:val="008F60E6"/>
    <w:rPr>
      <w:rFonts w:ascii="Calibri" w:hAnsi="Calibri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8F60E6"/>
    <w:rPr>
      <w:rFonts w:ascii="Calibri" w:hAnsi="Calibri"/>
      <w:sz w:val="22"/>
      <w:szCs w:val="22"/>
      <w:lang w:eastAsia="ru-RU"/>
    </w:rPr>
  </w:style>
  <w:style w:type="paragraph" w:styleId="a6">
    <w:name w:val="Body Text"/>
    <w:basedOn w:val="a"/>
    <w:link w:val="a7"/>
    <w:rsid w:val="008F60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8F60E6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1">
    <w:name w:val="Заголовок №1_"/>
    <w:link w:val="12"/>
    <w:rsid w:val="008F60E6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F60E6"/>
    <w:pPr>
      <w:widowControl w:val="0"/>
      <w:shd w:val="clear" w:color="auto" w:fill="FFFFFF"/>
      <w:spacing w:before="300"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4">
    <w:name w:val="No Spacing"/>
    <w:link w:val="a5"/>
    <w:uiPriority w:val="1"/>
    <w:qFormat/>
    <w:rsid w:val="008F60E6"/>
    <w:rPr>
      <w:rFonts w:ascii="Calibri" w:hAnsi="Calibri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8F60E6"/>
    <w:rPr>
      <w:rFonts w:ascii="Calibri" w:hAnsi="Calibri"/>
      <w:sz w:val="22"/>
      <w:szCs w:val="22"/>
      <w:lang w:eastAsia="ru-RU"/>
    </w:rPr>
  </w:style>
  <w:style w:type="paragraph" w:styleId="a6">
    <w:name w:val="Body Text"/>
    <w:basedOn w:val="a"/>
    <w:link w:val="a7"/>
    <w:rsid w:val="008F60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8F60E6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2020-12-23T08:09:00Z</dcterms:created>
  <dcterms:modified xsi:type="dcterms:W3CDTF">2020-12-23T08:09:00Z</dcterms:modified>
</cp:coreProperties>
</file>