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00" w:rsidRDefault="002A6700" w:rsidP="002A6700">
      <w:pPr>
        <w:pStyle w:val="a4"/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 xml:space="preserve">Классный час «Пешком в историю» </w:t>
      </w:r>
      <w:proofErr w:type="gramStart"/>
      <w:r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 xml:space="preserve">( </w:t>
      </w:r>
      <w:proofErr w:type="gramEnd"/>
      <w:r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для младших школьников).</w:t>
      </w:r>
    </w:p>
    <w:p w:rsidR="002A6700" w:rsidRDefault="002A6700" w:rsidP="002A6700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bookmarkStart w:id="0" w:name="_GoBack"/>
      <w:bookmarkEnd w:id="0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(слайд 15) Найди на картинке 5 подозрительных личностей. Уж не шпионы ли они?</w:t>
      </w:r>
    </w:p>
    <w:p w:rsidR="002A6700" w:rsidRDefault="002A6700" w:rsidP="002A6700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(слайд 16) Посмотри на этих двух бравых солдат гренадерской роты:</w:t>
      </w:r>
    </w:p>
    <w:p w:rsidR="002A6700" w:rsidRDefault="002A6700" w:rsidP="002A6700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рядового и унтер-офицера. Найди три отличия.</w:t>
      </w:r>
    </w:p>
    <w:p w:rsidR="002A6700" w:rsidRDefault="002A6700" w:rsidP="002A6700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(слайд 17) Расставь 6 пушек на поле боя так, чтобы их выстрел попадал в противника. Русская пушка стреляет на 800 саженей, а французская – на 700.</w:t>
      </w:r>
    </w:p>
    <w:p w:rsidR="002A6700" w:rsidRDefault="002A6700" w:rsidP="002A6700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(слайд  18) Расставь цифры в том порядке, в каком происходили основные события войны 1812 года</w:t>
      </w:r>
    </w:p>
    <w:p w:rsidR="002A6700" w:rsidRDefault="002A6700" w:rsidP="002A6700">
      <w:pPr>
        <w:spacing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(слайд 19) Пройди по лабиринту и доставь депешу от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Багратиона Барклаю-де Толли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A6700" w:rsidRDefault="002A6700" w:rsidP="002A6700">
      <w:pPr>
        <w:spacing w:line="240" w:lineRule="auto"/>
        <w:jc w:val="both"/>
        <w:rPr>
          <w:rStyle w:val="a3"/>
          <w:bCs/>
          <w:color w:val="auto"/>
          <w:u w:val="none"/>
        </w:rPr>
      </w:pPr>
      <w:r>
        <w:rPr>
          <w:rFonts w:ascii="Times New Roman" w:hAnsi="Times New Roman"/>
          <w:bCs/>
          <w:sz w:val="24"/>
          <w:szCs w:val="24"/>
        </w:rPr>
        <w:t>(слайд 20)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Собери вещи, которые могут пригодиться в походе. Будь внимателен – здесь много лишнего.</w:t>
      </w:r>
    </w:p>
    <w:p w:rsidR="002A6700" w:rsidRDefault="002A6700" w:rsidP="002A6700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(</w:t>
      </w:r>
      <w:proofErr w:type="gram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</w:t>
      </w:r>
      <w:proofErr w:type="gramEnd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лайд 21 Ребусы) Знакомясь с биографиями героев войны, ребята могут придумать ребусы – зашифровать имена героев.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Работа эта начиналась с эскизов и карандашных набросков, а  в современных условиях, когда компьютерные технологии открывают перед детьми широкие возможности для творчества с помощью компьютерной графики, можно предложить создать памятные эмблемы или проекты значков, посвящённых Бородинской битве и войне 1812года. Учащиеся могут создать коллажи на основе репродукций картин о войне 1812 года. Их работы могут быть использованы как открытки или являться фоном для оформления театрализованных представлений в честь этой знаменательной даты. А совместное составление ребусов и отгадывание кроссвордов – будет отличным итогом классного часа</w:t>
      </w:r>
    </w:p>
    <w:p w:rsidR="000D12A6" w:rsidRDefault="000D12A6"/>
    <w:sectPr w:rsidR="000D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35D5"/>
    <w:multiLevelType w:val="hybridMultilevel"/>
    <w:tmpl w:val="5FAA71A2"/>
    <w:lvl w:ilvl="0" w:tplc="8534A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00"/>
    <w:rsid w:val="000D12A6"/>
    <w:rsid w:val="002A6700"/>
    <w:rsid w:val="009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7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6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7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</dc:creator>
  <cp:lastModifiedBy>Сороко</cp:lastModifiedBy>
  <cp:revision>1</cp:revision>
  <dcterms:created xsi:type="dcterms:W3CDTF">2012-12-10T14:06:00Z</dcterms:created>
  <dcterms:modified xsi:type="dcterms:W3CDTF">2012-12-10T14:07:00Z</dcterms:modified>
</cp:coreProperties>
</file>