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C8" w:rsidRPr="002C5EC8" w:rsidRDefault="002C5EC8" w:rsidP="002C5EC8">
      <w:pPr>
        <w:jc w:val="center"/>
        <w:rPr>
          <w:rFonts w:asciiTheme="minorHAnsi" w:hAnsiTheme="minorHAnsi"/>
          <w:b/>
          <w:sz w:val="28"/>
          <w:szCs w:val="28"/>
        </w:rPr>
      </w:pPr>
      <w:r w:rsidRPr="002C5EC8">
        <w:rPr>
          <w:rFonts w:asciiTheme="minorHAnsi" w:hAnsiTheme="minorHAnsi"/>
          <w:b/>
          <w:sz w:val="28"/>
          <w:szCs w:val="28"/>
        </w:rPr>
        <w:t>Буферность и осмос</w:t>
      </w:r>
      <w:r w:rsidR="00806F74">
        <w:rPr>
          <w:rFonts w:asciiTheme="minorHAnsi" w:hAnsiTheme="minorHAnsi"/>
          <w:b/>
          <w:sz w:val="28"/>
          <w:szCs w:val="28"/>
        </w:rPr>
        <w:t>.</w:t>
      </w:r>
    </w:p>
    <w:p w:rsidR="002C5EC8" w:rsidRDefault="002C5EC8" w:rsidP="00E374E4">
      <w:pPr>
        <w:jc w:val="both"/>
        <w:rPr>
          <w:rFonts w:asciiTheme="minorHAnsi" w:hAnsiTheme="minorHAnsi"/>
        </w:rPr>
      </w:pPr>
    </w:p>
    <w:p w:rsidR="00E374E4" w:rsidRPr="00E374E4" w:rsidRDefault="00E374E4" w:rsidP="00E374E4">
      <w:pPr>
        <w:jc w:val="both"/>
        <w:rPr>
          <w:rFonts w:asciiTheme="minorHAnsi" w:hAnsiTheme="minorHAnsi"/>
        </w:rPr>
      </w:pPr>
      <w:r w:rsidRPr="00E374E4">
        <w:rPr>
          <w:rFonts w:asciiTheme="minorHAnsi" w:hAnsiTheme="minorHAnsi"/>
        </w:rPr>
        <w:t xml:space="preserve">Соли в живых организмах находятся в растворенном состоянии в виде ионов – положительно заряженных катионов и отрицательно заряженных анионов. </w:t>
      </w:r>
    </w:p>
    <w:p w:rsidR="00E374E4" w:rsidRPr="002C5EC8" w:rsidRDefault="00E374E4" w:rsidP="00E374E4">
      <w:pPr>
        <w:rPr>
          <w:rFonts w:asciiTheme="minorHAnsi" w:hAnsiTheme="minorHAnsi"/>
        </w:rPr>
      </w:pPr>
      <w:r w:rsidRPr="00E374E4">
        <w:rPr>
          <w:rFonts w:asciiTheme="minorHAnsi" w:hAnsiTheme="minorHAnsi"/>
        </w:rPr>
        <w:t>Концентрация катионов и анионов в клетке и в окружающей ее среде неодинакова. В клетке содержится довольно много калия и очень мало натрия. Во внеклеточной среде, например в плазме крови, в морской воде, наоборот, много натрия и мало калия. Раздражительность клетки зависит от соотношения концентраций ионов Na+, K+, Ca</w:t>
      </w:r>
      <w:r w:rsidRPr="00E374E4">
        <w:rPr>
          <w:rFonts w:asciiTheme="minorHAnsi" w:hAnsiTheme="minorHAnsi"/>
          <w:vertAlign w:val="superscript"/>
        </w:rPr>
        <w:t>2+,</w:t>
      </w:r>
      <w:r w:rsidRPr="00E374E4">
        <w:rPr>
          <w:rFonts w:asciiTheme="minorHAnsi" w:hAnsiTheme="minorHAnsi"/>
        </w:rPr>
        <w:t xml:space="preserve"> Mg</w:t>
      </w:r>
      <w:r w:rsidRPr="00E374E4">
        <w:rPr>
          <w:rFonts w:asciiTheme="minorHAnsi" w:hAnsiTheme="minorHAnsi"/>
          <w:vertAlign w:val="superscript"/>
        </w:rPr>
        <w:t>2+.</w:t>
      </w:r>
      <w:r w:rsidR="002C5EC8">
        <w:rPr>
          <w:rFonts w:asciiTheme="minorHAnsi" w:hAnsiTheme="minorHAnsi"/>
          <w:vertAlign w:val="superscript"/>
        </w:rPr>
        <w:t xml:space="preserve">  </w:t>
      </w:r>
      <w:r w:rsidR="002C5EC8">
        <w:rPr>
          <w:rFonts w:asciiTheme="minorHAnsi" w:hAnsiTheme="minorHAnsi"/>
        </w:rPr>
        <w:t>Разность концентраций ионов по разные стороны мембраны обеспечивает активный перенос веществ через мембрану.</w:t>
      </w:r>
    </w:p>
    <w:p w:rsidR="00E374E4" w:rsidRPr="002E32B2" w:rsidRDefault="00E374E4" w:rsidP="00E374E4">
      <w:pPr>
        <w:rPr>
          <w:sz w:val="16"/>
          <w:szCs w:val="16"/>
        </w:rPr>
      </w:pPr>
    </w:p>
    <w:p w:rsidR="00E374E4" w:rsidRDefault="00E374E4" w:rsidP="00E374E4">
      <w:pPr>
        <w:rPr>
          <w:sz w:val="16"/>
          <w:szCs w:val="16"/>
        </w:rPr>
      </w:pPr>
    </w:p>
    <w:p w:rsidR="00E374E4" w:rsidRDefault="00E374E4" w:rsidP="00E374E4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848225" cy="306324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6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E4" w:rsidRPr="00E374E4" w:rsidRDefault="00E374E4" w:rsidP="00E374E4">
      <w:pPr>
        <w:rPr>
          <w:rFonts w:asciiTheme="minorHAnsi" w:hAnsiTheme="minorHAnsi"/>
        </w:rPr>
      </w:pPr>
      <w:r w:rsidRPr="00E374E4">
        <w:rPr>
          <w:rFonts w:asciiTheme="minorHAnsi" w:hAnsiTheme="minorHAnsi"/>
        </w:rPr>
        <w:t>В тканях многоклеточных животных Са</w:t>
      </w:r>
      <w:r w:rsidRPr="00E374E4">
        <w:rPr>
          <w:rFonts w:asciiTheme="minorHAnsi" w:hAnsiTheme="minorHAnsi"/>
          <w:vertAlign w:val="superscript"/>
        </w:rPr>
        <w:t>2+</w:t>
      </w:r>
      <w:r w:rsidRPr="00E374E4">
        <w:rPr>
          <w:rFonts w:asciiTheme="minorHAnsi" w:hAnsiTheme="minorHAnsi"/>
        </w:rPr>
        <w:t xml:space="preserve"> входит в состав межклеточного вещества, обеспечивающего сцепленность клеток и упорядоченное их расположение. От концентрации солей зависят осмотическое давление в клетке и ее буферные свойства.</w:t>
      </w:r>
    </w:p>
    <w:p w:rsidR="00E374E4" w:rsidRDefault="00E374E4" w:rsidP="00E374E4">
      <w:pPr>
        <w:rPr>
          <w:rFonts w:asciiTheme="minorHAnsi" w:hAnsiTheme="minorHAnsi"/>
          <w:b/>
        </w:rPr>
      </w:pPr>
      <w:r w:rsidRPr="00E374E4">
        <w:rPr>
          <w:rFonts w:asciiTheme="minorHAnsi" w:hAnsiTheme="minorHAnsi"/>
          <w:b/>
          <w:u w:val="single"/>
        </w:rPr>
        <w:t xml:space="preserve">Буферностью </w:t>
      </w:r>
      <w:r w:rsidRPr="00E374E4">
        <w:rPr>
          <w:rFonts w:asciiTheme="minorHAnsi" w:hAnsiTheme="minorHAnsi"/>
          <w:b/>
        </w:rPr>
        <w:t xml:space="preserve"> называется способность клетки поддерживать слабощелочную реакцию ее содержимого на постоянном уровне.</w:t>
      </w:r>
    </w:p>
    <w:p w:rsidR="00E374E4" w:rsidRDefault="002C5EC8" w:rsidP="00E374E4">
      <w:pPr>
        <w:rPr>
          <w:rFonts w:asciiTheme="minorHAnsi" w:hAnsiTheme="minorHAnsi"/>
        </w:rPr>
      </w:pPr>
      <w:r>
        <w:rPr>
          <w:rFonts w:asciiTheme="minorHAnsi" w:hAnsiTheme="minorHAnsi"/>
        </w:rPr>
        <w:t>Существует две буферные системы:</w:t>
      </w:r>
    </w:p>
    <w:p w:rsidR="002C5EC8" w:rsidRDefault="002C5EC8" w:rsidP="00E374E4">
      <w:pPr>
        <w:rPr>
          <w:rFonts w:asciiTheme="minorHAnsi" w:hAnsiTheme="minorHAnsi"/>
        </w:rPr>
      </w:pPr>
      <w:r>
        <w:rPr>
          <w:rFonts w:asciiTheme="minorHAnsi" w:hAnsiTheme="minorHAnsi"/>
        </w:rPr>
        <w:t>1)фосфатная буферная система – анионы фосфорной кислоты поддерживают рН внутриклеточной среды на уровне 6,9</w:t>
      </w:r>
    </w:p>
    <w:p w:rsidR="002C5EC8" w:rsidRPr="00E374E4" w:rsidRDefault="002C5EC8" w:rsidP="00E374E4">
      <w:pPr>
        <w:rPr>
          <w:rFonts w:asciiTheme="minorHAnsi" w:hAnsiTheme="minorHAnsi"/>
        </w:rPr>
      </w:pPr>
      <w:r>
        <w:rPr>
          <w:rFonts w:asciiTheme="minorHAnsi" w:hAnsiTheme="minorHAnsi"/>
        </w:rPr>
        <w:t>2)бикарбонатная буферная система – анионы угольной кислоты поддерживают рН внеклеточной среды на уровне 7,4.</w:t>
      </w:r>
    </w:p>
    <w:p w:rsidR="00E374E4" w:rsidRDefault="00E374E4" w:rsidP="00E374E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C5EC8" w:rsidRPr="002C5EC8" w:rsidRDefault="00E374E4" w:rsidP="00E374E4">
      <w:pPr>
        <w:spacing w:before="100" w:beforeAutospacing="1" w:after="100" w:afterAutospacing="1"/>
        <w:rPr>
          <w:rFonts w:asciiTheme="minorHAnsi" w:hAnsiTheme="minorHAnsi" w:cs="Arial CYR"/>
          <w:color w:val="000000"/>
        </w:rPr>
      </w:pPr>
      <w:r w:rsidRPr="002C5EC8">
        <w:rPr>
          <w:rFonts w:asciiTheme="minorHAnsi" w:hAnsiTheme="minorHAnsi" w:cs="Arial CYR"/>
          <w:iCs/>
          <w:color w:val="000000"/>
        </w:rPr>
        <w:t xml:space="preserve">Рассмотрим уравнения реакций, протекающих в буферных растворах. </w:t>
      </w:r>
    </w:p>
    <w:p w:rsidR="00E374E4" w:rsidRPr="002C5EC8" w:rsidRDefault="00E374E4" w:rsidP="00E374E4">
      <w:pPr>
        <w:spacing w:before="100" w:beforeAutospacing="1" w:after="100" w:afterAutospacing="1"/>
        <w:rPr>
          <w:rFonts w:asciiTheme="minorHAnsi" w:hAnsiTheme="minorHAnsi" w:cs="Arial CYR"/>
          <w:color w:val="000000"/>
        </w:rPr>
      </w:pPr>
      <w:r w:rsidRPr="002C5EC8">
        <w:rPr>
          <w:rFonts w:asciiTheme="minorHAnsi" w:hAnsiTheme="minorHAnsi" w:cs="Arial CYR"/>
          <w:i/>
          <w:iCs/>
          <w:color w:val="000000"/>
        </w:rPr>
        <w:t xml:space="preserve">Если в клетке увеличивается концентрация </w:t>
      </w:r>
      <w:r w:rsidRPr="002C5EC8">
        <w:rPr>
          <w:rFonts w:asciiTheme="minorHAnsi" w:hAnsiTheme="minorHAnsi" w:cs="Arial CYR"/>
          <w:color w:val="000000"/>
        </w:rPr>
        <w:t>Н</w:t>
      </w:r>
      <w:r w:rsidRPr="002C5EC8">
        <w:rPr>
          <w:rFonts w:asciiTheme="minorHAnsi" w:hAnsiTheme="minorHAnsi" w:cs="Arial CYR"/>
          <w:color w:val="000000"/>
          <w:vertAlign w:val="superscript"/>
        </w:rPr>
        <w:t>+</w:t>
      </w:r>
      <w:r w:rsidRPr="002C5EC8">
        <w:rPr>
          <w:rFonts w:asciiTheme="minorHAnsi" w:hAnsiTheme="minorHAnsi" w:cs="Arial CYR"/>
          <w:i/>
          <w:iCs/>
          <w:color w:val="000000"/>
        </w:rPr>
        <w:t>, то происходит присоединение катиона водорода к карбонат-аниону:</w:t>
      </w:r>
    </w:p>
    <w:p w:rsidR="00E374E4" w:rsidRPr="002C5EC8" w:rsidRDefault="00E374E4" w:rsidP="00E374E4">
      <w:pPr>
        <w:spacing w:before="100" w:beforeAutospacing="1" w:after="100" w:afterAutospacing="1"/>
        <w:jc w:val="center"/>
        <w:rPr>
          <w:rFonts w:asciiTheme="minorHAnsi" w:hAnsiTheme="minorHAnsi" w:cs="Arial CYR"/>
          <w:color w:val="000000"/>
        </w:rPr>
      </w:pPr>
      <w:r w:rsidRPr="002C5EC8">
        <w:rPr>
          <w:rFonts w:asciiTheme="minorHAnsi" w:hAnsiTheme="minorHAnsi" w:cs="Arial CYR"/>
          <w:noProof/>
          <w:color w:val="000000"/>
        </w:rPr>
        <w:drawing>
          <wp:inline distT="0" distB="0" distL="0" distR="0">
            <wp:extent cx="285750" cy="171450"/>
            <wp:effectExtent l="19050" t="0" r="0" b="0"/>
            <wp:docPr id="9" name="Рисунок 9" descr="http://him.1september.ru/2004/40/co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im.1september.ru/2004/40/co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EC8">
        <w:rPr>
          <w:rFonts w:asciiTheme="minorHAnsi" w:hAnsiTheme="minorHAnsi" w:cs="Arial CYR"/>
          <w:color w:val="000000"/>
        </w:rPr>
        <w:t>+ Н</w:t>
      </w:r>
      <w:r w:rsidRPr="002C5EC8">
        <w:rPr>
          <w:rFonts w:asciiTheme="minorHAnsi" w:hAnsiTheme="minorHAnsi" w:cs="Arial CYR"/>
          <w:color w:val="000000"/>
          <w:vertAlign w:val="superscript"/>
        </w:rPr>
        <w:t>+</w:t>
      </w:r>
      <w:r w:rsidRPr="002C5EC8">
        <w:rPr>
          <w:rFonts w:asciiTheme="minorHAnsi" w:hAnsiTheme="minorHAnsi" w:cs="Arial CYR"/>
          <w:color w:val="000000"/>
        </w:rPr>
        <w:t xml:space="preserve"> </w:t>
      </w:r>
      <w:r w:rsidRPr="002C5EC8">
        <w:rPr>
          <w:rFonts w:asciiTheme="minorHAnsi" w:hAnsiTheme="minorHAnsi" w:cs="Arial CYR"/>
          <w:noProof/>
          <w:color w:val="000000"/>
        </w:rPr>
        <w:drawing>
          <wp:inline distT="0" distB="0" distL="0" distR="0">
            <wp:extent cx="133350" cy="133350"/>
            <wp:effectExtent l="19050" t="0" r="0" b="0"/>
            <wp:docPr id="10" name="Рисунок 10" descr="http://him.1september.ru/2004/4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im.1september.ru/2004/4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EC8">
        <w:rPr>
          <w:rFonts w:asciiTheme="minorHAnsi" w:hAnsiTheme="minorHAnsi" w:cs="Arial CYR"/>
          <w:color w:val="000000"/>
        </w:rPr>
        <w:t>Н</w:t>
      </w:r>
      <w:r w:rsidRPr="002C5EC8">
        <w:rPr>
          <w:rFonts w:asciiTheme="minorHAnsi" w:hAnsiTheme="minorHAnsi" w:cs="Arial CYR"/>
          <w:noProof/>
          <w:color w:val="000000"/>
        </w:rPr>
        <w:drawing>
          <wp:inline distT="0" distB="0" distL="0" distR="0">
            <wp:extent cx="257175" cy="171450"/>
            <wp:effectExtent l="19050" t="0" r="9525" b="0"/>
            <wp:docPr id="11" name="Рисунок 11" descr="http://him.1september.ru/2004/40/c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im.1september.ru/2004/40/co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EC8">
        <w:rPr>
          <w:rFonts w:asciiTheme="minorHAnsi" w:hAnsiTheme="minorHAnsi" w:cs="Arial CYR"/>
          <w:color w:val="000000"/>
        </w:rPr>
        <w:t>.</w:t>
      </w:r>
    </w:p>
    <w:p w:rsidR="00E374E4" w:rsidRPr="002C5EC8" w:rsidRDefault="00E374E4" w:rsidP="00E374E4">
      <w:pPr>
        <w:spacing w:before="100" w:beforeAutospacing="1" w:after="100" w:afterAutospacing="1"/>
        <w:rPr>
          <w:rFonts w:asciiTheme="minorHAnsi" w:hAnsiTheme="minorHAnsi" w:cs="Arial CYR"/>
          <w:color w:val="000000"/>
        </w:rPr>
      </w:pPr>
      <w:r w:rsidRPr="002C5EC8">
        <w:rPr>
          <w:rFonts w:asciiTheme="minorHAnsi" w:hAnsiTheme="minorHAnsi" w:cs="Arial CYR"/>
          <w:iCs/>
          <w:color w:val="000000"/>
        </w:rPr>
        <w:t>При увеличении концентрации гидроксид-анионов происходит их связывание:</w:t>
      </w:r>
    </w:p>
    <w:p w:rsidR="00E374E4" w:rsidRPr="002C5EC8" w:rsidRDefault="00E374E4" w:rsidP="00E374E4">
      <w:pPr>
        <w:spacing w:before="100" w:beforeAutospacing="1" w:after="100" w:afterAutospacing="1"/>
        <w:jc w:val="center"/>
        <w:rPr>
          <w:rFonts w:asciiTheme="minorHAnsi" w:hAnsiTheme="minorHAnsi" w:cs="Arial CYR"/>
          <w:color w:val="000000"/>
        </w:rPr>
      </w:pPr>
      <w:r w:rsidRPr="002C5EC8">
        <w:rPr>
          <w:rFonts w:asciiTheme="minorHAnsi" w:hAnsiTheme="minorHAnsi" w:cs="Arial CYR"/>
          <w:color w:val="000000"/>
        </w:rPr>
        <w:t>Н</w:t>
      </w:r>
      <w:r w:rsidRPr="002C5EC8">
        <w:rPr>
          <w:rFonts w:asciiTheme="minorHAnsi" w:hAnsiTheme="minorHAnsi" w:cs="Arial CYR"/>
          <w:noProof/>
          <w:color w:val="000000"/>
        </w:rPr>
        <w:drawing>
          <wp:inline distT="0" distB="0" distL="0" distR="0">
            <wp:extent cx="257175" cy="171450"/>
            <wp:effectExtent l="19050" t="0" r="9525" b="0"/>
            <wp:docPr id="12" name="Рисунок 12" descr="http://him.1september.ru/2004/40/c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him.1september.ru/2004/40/co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EC8">
        <w:rPr>
          <w:rFonts w:asciiTheme="minorHAnsi" w:hAnsiTheme="minorHAnsi" w:cs="Arial CYR"/>
          <w:color w:val="000000"/>
        </w:rPr>
        <w:t xml:space="preserve"> + ОН</w:t>
      </w:r>
      <w:r w:rsidRPr="002C5EC8">
        <w:rPr>
          <w:rFonts w:asciiTheme="minorHAnsi" w:hAnsiTheme="minorHAnsi" w:cs="Arial CYR"/>
          <w:color w:val="000000"/>
          <w:vertAlign w:val="superscript"/>
        </w:rPr>
        <w:t>–</w:t>
      </w:r>
      <w:r w:rsidRPr="002C5EC8">
        <w:rPr>
          <w:rFonts w:asciiTheme="minorHAnsi" w:hAnsiTheme="minorHAnsi" w:cs="Arial CYR"/>
          <w:color w:val="000000"/>
        </w:rPr>
        <w:t xml:space="preserve"> </w:t>
      </w:r>
      <w:r w:rsidRPr="002C5EC8">
        <w:rPr>
          <w:rFonts w:asciiTheme="minorHAnsi" w:hAnsiTheme="minorHAnsi" w:cs="Arial CYR"/>
          <w:noProof/>
          <w:color w:val="000000"/>
        </w:rPr>
        <w:drawing>
          <wp:inline distT="0" distB="0" distL="0" distR="0">
            <wp:extent cx="133350" cy="133350"/>
            <wp:effectExtent l="19050" t="0" r="0" b="0"/>
            <wp:docPr id="13" name="Рисунок 13" descr="http://him.1september.ru/2004/40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im.1september.ru/2004/40/strp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EC8">
        <w:rPr>
          <w:rFonts w:asciiTheme="minorHAnsi" w:hAnsiTheme="minorHAnsi" w:cs="Arial CYR"/>
          <w:noProof/>
          <w:color w:val="000000"/>
        </w:rPr>
        <w:drawing>
          <wp:inline distT="0" distB="0" distL="0" distR="0">
            <wp:extent cx="285750" cy="171450"/>
            <wp:effectExtent l="19050" t="0" r="0" b="0"/>
            <wp:docPr id="14" name="Рисунок 14" descr="http://him.1september.ru/2004/40/co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him.1september.ru/2004/40/co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5EC8">
        <w:rPr>
          <w:rFonts w:asciiTheme="minorHAnsi" w:hAnsiTheme="minorHAnsi" w:cs="Arial CYR"/>
          <w:color w:val="000000"/>
        </w:rPr>
        <w:t>+ Н</w:t>
      </w:r>
      <w:r w:rsidRPr="002C5EC8">
        <w:rPr>
          <w:rFonts w:asciiTheme="minorHAnsi" w:hAnsiTheme="minorHAnsi" w:cs="Arial CYR"/>
          <w:color w:val="000000"/>
          <w:vertAlign w:val="subscript"/>
        </w:rPr>
        <w:t>2</w:t>
      </w:r>
      <w:r w:rsidRPr="002C5EC8">
        <w:rPr>
          <w:rFonts w:asciiTheme="minorHAnsi" w:hAnsiTheme="minorHAnsi" w:cs="Arial CYR"/>
          <w:color w:val="000000"/>
        </w:rPr>
        <w:t>О.</w:t>
      </w:r>
    </w:p>
    <w:p w:rsidR="002C5EC8" w:rsidRPr="002C5EC8" w:rsidRDefault="00E374E4" w:rsidP="002C5EC8">
      <w:pPr>
        <w:spacing w:before="100" w:beforeAutospacing="1" w:after="100" w:afterAutospacing="1"/>
        <w:rPr>
          <w:rFonts w:asciiTheme="minorHAnsi" w:hAnsiTheme="minorHAnsi"/>
        </w:rPr>
      </w:pPr>
      <w:r w:rsidRPr="002C5EC8">
        <w:rPr>
          <w:rFonts w:asciiTheme="minorHAnsi" w:hAnsiTheme="minorHAnsi" w:cs="Arial CYR"/>
          <w:i/>
          <w:iCs/>
          <w:color w:val="000000"/>
        </w:rPr>
        <w:lastRenderedPageBreak/>
        <w:t>Так карбонат-анион может поддерживать постоянную среду.</w:t>
      </w:r>
      <w:r w:rsidRPr="002C5EC8">
        <w:rPr>
          <w:rFonts w:asciiTheme="minorHAnsi" w:hAnsiTheme="minorHAnsi" w:cs="Arial CYR"/>
          <w:i/>
          <w:iCs/>
          <w:color w:val="000000"/>
        </w:rPr>
        <w:br/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</w:rPr>
      </w:pPr>
      <w:r w:rsidRPr="00A03945">
        <w:rPr>
          <w:rFonts w:asciiTheme="minorHAnsi" w:hAnsiTheme="minorHAnsi"/>
          <w:b/>
        </w:rPr>
        <w:t>Осмотическими</w:t>
      </w:r>
      <w:r w:rsidRPr="00A03945">
        <w:rPr>
          <w:rFonts w:asciiTheme="minorHAnsi" w:hAnsiTheme="minorHAnsi"/>
        </w:rPr>
        <w:t xml:space="preserve"> называют явления, происходящие в системе, состоящей из двух растворов, разделенных полупроницаемой мембраной. В растительной клетке роль полупроницаемых пленок выполняют пограничные слои цитоплазмы: плазмалемма и тонопласт. </w:t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</w:rPr>
      </w:pPr>
      <w:r w:rsidRPr="00A03945">
        <w:rPr>
          <w:rFonts w:asciiTheme="minorHAnsi" w:hAnsiTheme="minorHAnsi"/>
        </w:rPr>
        <w:t xml:space="preserve">Плазмалемма - наружная мембрана цитоплазмы, прилегающая к клеточной оболочке. Тонопласт - внутренняя мембрана цитоплазмы, окружающая вакуоль. Вакуоли представляют собой полости в цитоплазме, заполненные клеточным соком - водным раствором углеводов, органических кислот, солей, белков с низким молекулярным весом, пигментов. </w:t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</w:rPr>
      </w:pPr>
      <w:r w:rsidRPr="00A03945">
        <w:rPr>
          <w:rFonts w:asciiTheme="minorHAnsi" w:hAnsiTheme="minorHAnsi"/>
        </w:rPr>
        <w:t xml:space="preserve">Концентрация веществ в клеточном соке и во внешней среде (в почве, водоемах) обычно не одинаковы. Если внутриклеточная концентрация веществ выше, чем во внешней среде, вода из среды будет поступать в клетку, точнее в вакуоль, с большей скоростью, чем в обратном направлении. При увеличении объема клеточного сока, вследствие поступления в клетку воды, увеличивается его давление на цитоплазму, плотно прилегающую к оболочке. При полном насыщении клетки водой она имеет максимальный объем. Состояние внутреннего напряжения клетки, обусловленное высоким содержанием воды и развивающимся давлением содержимого клетки на ее оболочку носит название тургора Тургор обеспечивает сохранение органами формы (например, листьями, неодревесневшими стеблями) и положения в пространстве, а также сопротивление их действию механических факторов. С потерей воды связано уменьшение тургора и увядание. </w:t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</w:rPr>
      </w:pPr>
      <w:r w:rsidRPr="00A03945">
        <w:rPr>
          <w:rFonts w:asciiTheme="minorHAnsi" w:hAnsiTheme="minorHAnsi"/>
        </w:rPr>
        <w:t xml:space="preserve">Если клетка находится в гипертоническом растворе, концентрация которого больше концентрации клеточного сока, то скорость диффузии воды из клеточного сока будет превышать скорость диффузии воды в клетку из окружающего раствора. Вследствие выхода воды из клетки объем клеточного сока сокращается, тургор уменьшается. Уменьшение объема клеточной вакуоли сопровождается отделением цитоплазмы от оболочки - происходит </w:t>
      </w:r>
      <w:r w:rsidRPr="00A03945">
        <w:rPr>
          <w:rFonts w:asciiTheme="minorHAnsi" w:hAnsiTheme="minorHAnsi"/>
          <w:b/>
        </w:rPr>
        <w:t>плазмолиз</w:t>
      </w:r>
      <w:r w:rsidRPr="00A03945">
        <w:rPr>
          <w:rFonts w:asciiTheme="minorHAnsi" w:hAnsiTheme="minorHAnsi"/>
        </w:rPr>
        <w:t xml:space="preserve">. </w:t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  <w:lang w:val="en-US"/>
        </w:rPr>
      </w:pPr>
      <w:r w:rsidRPr="00A03945">
        <w:rPr>
          <w:rFonts w:asciiTheme="minorHAnsi" w:hAnsiTheme="minorHAnsi"/>
        </w:rPr>
        <w:t xml:space="preserve">В ходе плазмолиза форма плазмолизированного протопласта меняется. Вначале протопласт отстает от клеточной стенки лишь в отдельных местах, чаще всего в уголках. Плазмолиз такой формы называют уголковым </w:t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</w:rPr>
      </w:pPr>
      <w:r w:rsidRPr="00A03945">
        <w:rPr>
          <w:rFonts w:asciiTheme="minorHAnsi" w:hAnsiTheme="minorHAnsi"/>
        </w:rPr>
        <w:t xml:space="preserve">Затем протопласт продолжает отставать от клеточных стенок, сохраняя связь с ними в отдельных местах, поверхность протопласта между этими точками имеет вогнутую форму. На этом этапе плазмолиз называют вогнутым Постепенно протопласт отрывается от клеточных стенок по всей поверхности и принимает округлую форму. Такой плазмолиз носит название выпуклого </w:t>
      </w:r>
    </w:p>
    <w:p w:rsidR="00A03945" w:rsidRPr="00A03945" w:rsidRDefault="00A03945" w:rsidP="00A03945">
      <w:pPr>
        <w:spacing w:before="100" w:beforeAutospacing="1" w:after="100" w:afterAutospacing="1" w:line="300" w:lineRule="atLeast"/>
        <w:jc w:val="both"/>
        <w:rPr>
          <w:rFonts w:asciiTheme="minorHAnsi" w:hAnsiTheme="minorHAnsi"/>
        </w:rPr>
      </w:pPr>
      <w:r w:rsidRPr="00A03945">
        <w:rPr>
          <w:rFonts w:asciiTheme="minorHAnsi" w:hAnsiTheme="minorHAnsi"/>
        </w:rPr>
        <w:t xml:space="preserve">Если плазмолизированную клетку поместить в гипотонический раствор, концентрация которого меньше концентрации клеточного сока, вода из окружающего раствора будет поступать внутрь вакуоли. В результате увеличения объема вакуоли повысится давление клеточного сока на цитоплазму, которая начинает приближаться к стенкам клетки, пока не примет первоначальное положение - произойдет </w:t>
      </w:r>
      <w:r w:rsidRPr="00A03945">
        <w:rPr>
          <w:rFonts w:asciiTheme="minorHAnsi" w:hAnsiTheme="minorHAnsi"/>
          <w:b/>
        </w:rPr>
        <w:t>деплазмолиз</w:t>
      </w:r>
    </w:p>
    <w:p w:rsidR="00E374E4" w:rsidRPr="00A03945" w:rsidRDefault="00A03945" w:rsidP="00E374E4">
      <w:pPr>
        <w:rPr>
          <w:rFonts w:asciiTheme="minorHAnsi" w:hAnsiTheme="minorHAnsi"/>
        </w:rPr>
      </w:pPr>
      <w:r w:rsidRPr="00A03945">
        <w:rPr>
          <w:rFonts w:asciiTheme="minorHAnsi" w:hAnsiTheme="minorHAnsi"/>
        </w:rPr>
        <w:lastRenderedPageBreak/>
        <w:t>Задание №3</w:t>
      </w:r>
    </w:p>
    <w:p w:rsidR="00A03945" w:rsidRPr="00A03945" w:rsidRDefault="00A03945" w:rsidP="00E374E4">
      <w:pPr>
        <w:rPr>
          <w:rFonts w:asciiTheme="minorHAnsi" w:hAnsiTheme="minorHAnsi"/>
        </w:rPr>
      </w:pPr>
    </w:p>
    <w:p w:rsidR="00A03945" w:rsidRPr="00A03945" w:rsidRDefault="00A03945" w:rsidP="00E374E4">
      <w:pPr>
        <w:rPr>
          <w:rFonts w:asciiTheme="minorHAnsi" w:hAnsiTheme="minorHAnsi"/>
        </w:rPr>
      </w:pPr>
      <w:r w:rsidRPr="00A03945">
        <w:rPr>
          <w:rFonts w:asciiTheme="minorHAnsi" w:hAnsiTheme="minorHAnsi"/>
        </w:rPr>
        <w:t>Прочитав предложенный текст, ответьте на следующие вопросы.</w:t>
      </w:r>
    </w:p>
    <w:p w:rsidR="00A03945" w:rsidRPr="00A03945" w:rsidRDefault="00A03945" w:rsidP="00E374E4">
      <w:pPr>
        <w:rPr>
          <w:rFonts w:asciiTheme="minorHAnsi" w:hAnsiTheme="minorHAnsi"/>
        </w:rPr>
      </w:pP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  <w:r w:rsidRPr="00A03945">
        <w:rPr>
          <w:sz w:val="24"/>
          <w:szCs w:val="24"/>
          <w:lang w:eastAsia="ru-RU"/>
        </w:rPr>
        <w:t>1)определение буферности</w:t>
      </w: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  <w:r w:rsidRPr="00A03945">
        <w:rPr>
          <w:sz w:val="24"/>
          <w:szCs w:val="24"/>
          <w:lang w:eastAsia="ru-RU"/>
        </w:rPr>
        <w:t>2)от концентрации каких анионов зависят буферные свойства клетки</w:t>
      </w: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  <w:r w:rsidRPr="00A03945">
        <w:rPr>
          <w:sz w:val="24"/>
          <w:szCs w:val="24"/>
          <w:lang w:eastAsia="ru-RU"/>
        </w:rPr>
        <w:t>3)роль буферности в клетке</w:t>
      </w: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  <w:r w:rsidRPr="00A03945">
        <w:rPr>
          <w:sz w:val="24"/>
          <w:szCs w:val="24"/>
          <w:lang w:eastAsia="ru-RU"/>
        </w:rPr>
        <w:t>4)уравнение реакций, протекающих в бикарбонатной буферной системе (на магнитной доске)</w:t>
      </w: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  <w:r w:rsidRPr="00A03945">
        <w:rPr>
          <w:sz w:val="24"/>
          <w:szCs w:val="24"/>
          <w:lang w:eastAsia="ru-RU"/>
        </w:rPr>
        <w:t>5)определение осмоса (привести примеры)</w:t>
      </w: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  <w:r w:rsidRPr="00A03945">
        <w:rPr>
          <w:sz w:val="24"/>
          <w:szCs w:val="24"/>
          <w:lang w:eastAsia="ru-RU"/>
        </w:rPr>
        <w:t>6)определение плазмолиза и деплазмолиза слайды</w:t>
      </w:r>
    </w:p>
    <w:p w:rsidR="00A03945" w:rsidRPr="00A03945" w:rsidRDefault="00A03945" w:rsidP="00A03945">
      <w:pPr>
        <w:pStyle w:val="a7"/>
        <w:rPr>
          <w:sz w:val="24"/>
          <w:szCs w:val="24"/>
          <w:lang w:eastAsia="ru-RU"/>
        </w:rPr>
      </w:pPr>
    </w:p>
    <w:p w:rsidR="00A03945" w:rsidRDefault="00A03945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Default="00A43B46" w:rsidP="00E374E4">
      <w:pPr>
        <w:rPr>
          <w:rFonts w:asciiTheme="minorHAnsi" w:hAnsiTheme="minorHAnsi"/>
        </w:rPr>
      </w:pPr>
    </w:p>
    <w:p w:rsidR="00A43B46" w:rsidRPr="00A03945" w:rsidRDefault="00A43B46" w:rsidP="00E374E4">
      <w:pPr>
        <w:rPr>
          <w:rFonts w:asciiTheme="minorHAnsi" w:hAnsiTheme="minorHAnsi"/>
        </w:rPr>
      </w:pPr>
    </w:p>
    <w:sectPr w:rsidR="00A43B46" w:rsidRPr="00A03945" w:rsidSect="0078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4E4"/>
    <w:rsid w:val="002C5EC8"/>
    <w:rsid w:val="005F0898"/>
    <w:rsid w:val="00781221"/>
    <w:rsid w:val="00806F74"/>
    <w:rsid w:val="00A03945"/>
    <w:rsid w:val="00A43B46"/>
    <w:rsid w:val="00D800AD"/>
    <w:rsid w:val="00E374E4"/>
    <w:rsid w:val="00F9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4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91E9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91E9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A03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А.Селезнева</dc:creator>
  <cp:keywords/>
  <dc:description/>
  <cp:lastModifiedBy>А.Селезнева</cp:lastModifiedBy>
  <cp:revision>6</cp:revision>
  <dcterms:created xsi:type="dcterms:W3CDTF">2011-11-10T11:46:00Z</dcterms:created>
  <dcterms:modified xsi:type="dcterms:W3CDTF">2011-11-11T10:57:00Z</dcterms:modified>
</cp:coreProperties>
</file>