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FB" w:rsidRDefault="008821FB" w:rsidP="008821FB">
      <w:pPr>
        <w:pStyle w:val="Normal"/>
        <w:rPr>
          <w:b/>
          <w:sz w:val="28"/>
          <w:szCs w:val="24"/>
          <w:u w:val="single"/>
        </w:rPr>
      </w:pPr>
      <w:r>
        <w:rPr>
          <w:b/>
          <w:color w:val="0000FF"/>
          <w:u w:val="single"/>
        </w:rPr>
        <w:t>(Прил. 19)</w:t>
      </w:r>
    </w:p>
    <w:p w:rsidR="008821FB" w:rsidRDefault="008821FB" w:rsidP="008821FB">
      <w:pPr>
        <w:pStyle w:val="Normal"/>
        <w:ind w:left="360"/>
        <w:jc w:val="both"/>
        <w:rPr>
          <w:sz w:val="28"/>
          <w:szCs w:val="24"/>
        </w:rPr>
      </w:pPr>
    </w:p>
    <w:tbl>
      <w:tblPr>
        <w:tblStyle w:val="a3"/>
        <w:tblW w:w="0" w:type="auto"/>
        <w:tblLook w:val="01E0"/>
      </w:tblPr>
      <w:tblGrid>
        <w:gridCol w:w="4682"/>
        <w:gridCol w:w="4889"/>
      </w:tblGrid>
      <w:tr w:rsidR="008821FB" w:rsidRPr="00213BED" w:rsidTr="007F10AB">
        <w:tc>
          <w:tcPr>
            <w:tcW w:w="5210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0000FF"/>
                <w:szCs w:val="24"/>
              </w:rPr>
            </w:pPr>
            <w:r w:rsidRPr="00213BED">
              <w:rPr>
                <w:b/>
                <w:color w:val="0000FF"/>
                <w:szCs w:val="24"/>
              </w:rPr>
              <w:t>По ориентации на личностные структуры</w:t>
            </w:r>
          </w:p>
        </w:tc>
        <w:tc>
          <w:tcPr>
            <w:tcW w:w="5211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3366FF"/>
                <w:szCs w:val="24"/>
              </w:rPr>
            </w:pPr>
            <w:r w:rsidRPr="00213BED">
              <w:rPr>
                <w:b/>
                <w:color w:val="3366FF"/>
                <w:szCs w:val="24"/>
              </w:rPr>
              <w:t>Информационные (формирование школьных знаний, умений, навыков по предмету);операционные (формирование способов умственных действий); эмоционально-художественные и эмоционально-нравственные, технология саморазвития (формирование самоуправляющих механизмов личности); эвристические (развитие творческих способностей) и прикладные (формирование действенно-практической сферы)</w:t>
            </w:r>
          </w:p>
        </w:tc>
      </w:tr>
    </w:tbl>
    <w:p w:rsidR="008821FB" w:rsidRDefault="008821FB" w:rsidP="008821FB"/>
    <w:p w:rsidR="008821FB" w:rsidRPr="0028054D" w:rsidRDefault="008821FB" w:rsidP="008821FB"/>
    <w:p w:rsidR="008821FB" w:rsidRPr="0028054D" w:rsidRDefault="008821FB" w:rsidP="008821FB"/>
    <w:p w:rsidR="008821FB" w:rsidRDefault="008821FB" w:rsidP="008821FB">
      <w:pPr>
        <w:tabs>
          <w:tab w:val="left" w:pos="3405"/>
        </w:tabs>
        <w:jc w:val="center"/>
        <w:rPr>
          <w:sz w:val="20"/>
          <w:szCs w:val="20"/>
        </w:rPr>
      </w:pPr>
    </w:p>
    <w:p w:rsidR="008821FB" w:rsidRDefault="008821FB" w:rsidP="008821FB">
      <w:pPr>
        <w:tabs>
          <w:tab w:val="left" w:pos="3405"/>
        </w:tabs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19"/>
        <w:tblW w:w="0" w:type="auto"/>
        <w:tblLook w:val="01E0"/>
      </w:tblPr>
      <w:tblGrid>
        <w:gridCol w:w="4747"/>
        <w:gridCol w:w="4824"/>
      </w:tblGrid>
      <w:tr w:rsidR="008821FB" w:rsidRPr="00213BED" w:rsidTr="007F10AB">
        <w:tc>
          <w:tcPr>
            <w:tcW w:w="5210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0000FF"/>
                <w:szCs w:val="24"/>
              </w:rPr>
            </w:pPr>
            <w:r w:rsidRPr="00213BED">
              <w:rPr>
                <w:b/>
                <w:color w:val="0000FF"/>
                <w:szCs w:val="24"/>
              </w:rPr>
              <w:t>По типу организации и управления познавательной деятельностью</w:t>
            </w:r>
          </w:p>
        </w:tc>
        <w:tc>
          <w:tcPr>
            <w:tcW w:w="5211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3366FF"/>
                <w:szCs w:val="24"/>
              </w:rPr>
            </w:pPr>
            <w:r w:rsidRPr="00213BED">
              <w:rPr>
                <w:b/>
                <w:color w:val="3366FF"/>
                <w:szCs w:val="24"/>
              </w:rPr>
              <w:t xml:space="preserve">Традиционная классическая классно-урочная система (лекционный способ и самостоятельная работа с книгой); современное-традиционное обучение (самостоятельная работа с книгой в сочетании с техническими средствами); групповые и дифференцированные способы обучения </w:t>
            </w:r>
          </w:p>
        </w:tc>
      </w:tr>
      <w:tr w:rsidR="008821FB" w:rsidRPr="00213BED" w:rsidTr="007F10AB">
        <w:tc>
          <w:tcPr>
            <w:tcW w:w="5210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0000FF"/>
                <w:szCs w:val="24"/>
              </w:rPr>
            </w:pPr>
            <w:r w:rsidRPr="00213BED">
              <w:rPr>
                <w:b/>
                <w:color w:val="0000FF"/>
                <w:szCs w:val="24"/>
              </w:rPr>
              <w:t>Как способ, метод, средство</w:t>
            </w:r>
          </w:p>
        </w:tc>
        <w:tc>
          <w:tcPr>
            <w:tcW w:w="5211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3366FF"/>
                <w:szCs w:val="24"/>
              </w:rPr>
            </w:pPr>
            <w:r w:rsidRPr="00213BED">
              <w:rPr>
                <w:b/>
                <w:color w:val="3366FF"/>
                <w:szCs w:val="24"/>
              </w:rPr>
              <w:t>Репродуктивные, объяснительно-иллюстративные, программированное обучение, проблемное обучение, развивающее обучение, диалогическое обучение</w:t>
            </w:r>
            <w:r>
              <w:rPr>
                <w:b/>
                <w:color w:val="3366FF"/>
                <w:szCs w:val="24"/>
              </w:rPr>
              <w:t>,</w:t>
            </w:r>
            <w:r w:rsidRPr="00213BED">
              <w:rPr>
                <w:b/>
                <w:color w:val="3366FF"/>
                <w:szCs w:val="24"/>
              </w:rPr>
              <w:t xml:space="preserve"> коммуникативные, игровые, творческие</w:t>
            </w:r>
          </w:p>
        </w:tc>
      </w:tr>
      <w:tr w:rsidR="008821FB" w:rsidRPr="00213BED" w:rsidTr="007F10AB">
        <w:tc>
          <w:tcPr>
            <w:tcW w:w="5210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0000FF"/>
                <w:szCs w:val="24"/>
              </w:rPr>
            </w:pPr>
            <w:r w:rsidRPr="00213BED">
              <w:rPr>
                <w:b/>
                <w:color w:val="0000FF"/>
                <w:szCs w:val="24"/>
              </w:rPr>
              <w:t>Построение учебного процесса на деятельностной основе</w:t>
            </w:r>
          </w:p>
        </w:tc>
        <w:tc>
          <w:tcPr>
            <w:tcW w:w="5211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3366FF"/>
                <w:szCs w:val="24"/>
              </w:rPr>
            </w:pPr>
          </w:p>
        </w:tc>
      </w:tr>
      <w:tr w:rsidR="008821FB" w:rsidRPr="00213BED" w:rsidTr="007F10AB">
        <w:tc>
          <w:tcPr>
            <w:tcW w:w="5210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0000FF"/>
                <w:szCs w:val="24"/>
              </w:rPr>
            </w:pPr>
            <w:r w:rsidRPr="00213BED">
              <w:rPr>
                <w:b/>
                <w:color w:val="0000FF"/>
                <w:szCs w:val="24"/>
              </w:rPr>
              <w:t>Построение учебного процесса на крупноблочной основе</w:t>
            </w:r>
          </w:p>
        </w:tc>
        <w:tc>
          <w:tcPr>
            <w:tcW w:w="5211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3366FF"/>
                <w:szCs w:val="24"/>
              </w:rPr>
            </w:pPr>
          </w:p>
        </w:tc>
      </w:tr>
      <w:tr w:rsidR="008821FB" w:rsidRPr="00213BED" w:rsidTr="007F10AB">
        <w:tc>
          <w:tcPr>
            <w:tcW w:w="5210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0000FF"/>
                <w:szCs w:val="24"/>
              </w:rPr>
            </w:pPr>
            <w:r w:rsidRPr="00213BED">
              <w:rPr>
                <w:b/>
                <w:color w:val="0000FF"/>
                <w:szCs w:val="24"/>
              </w:rPr>
              <w:t>Построение учебного процесса на алгоритмической основе</w:t>
            </w:r>
          </w:p>
        </w:tc>
        <w:tc>
          <w:tcPr>
            <w:tcW w:w="5211" w:type="dxa"/>
          </w:tcPr>
          <w:p w:rsidR="008821FB" w:rsidRPr="00213BED" w:rsidRDefault="008821FB" w:rsidP="007F10AB">
            <w:pPr>
              <w:pStyle w:val="Normal"/>
              <w:jc w:val="both"/>
              <w:rPr>
                <w:b/>
                <w:color w:val="3366FF"/>
                <w:szCs w:val="24"/>
              </w:rPr>
            </w:pPr>
          </w:p>
        </w:tc>
      </w:tr>
    </w:tbl>
    <w:p w:rsidR="008821FB" w:rsidRDefault="008821FB" w:rsidP="008821FB"/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21FB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8821FB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8821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2009-08-22T18:51:00Z</dcterms:created>
  <dcterms:modified xsi:type="dcterms:W3CDTF">2009-08-22T18:51:00Z</dcterms:modified>
</cp:coreProperties>
</file>