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C" w:rsidRPr="00CE4C38" w:rsidRDefault="00C531BC" w:rsidP="00C531B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E4C38">
        <w:rPr>
          <w:rFonts w:asciiTheme="majorHAnsi" w:hAnsiTheme="majorHAnsi" w:cs="Times New Roman"/>
          <w:b/>
          <w:sz w:val="24"/>
          <w:szCs w:val="24"/>
        </w:rPr>
        <w:t>Анализ урока в соответствии с требованиями ФГОС</w:t>
      </w:r>
    </w:p>
    <w:p w:rsidR="00C531BC" w:rsidRPr="007219B0" w:rsidRDefault="00C531BC" w:rsidP="00C531BC">
      <w:pPr>
        <w:shd w:val="clear" w:color="auto" w:fill="FFFFFF"/>
        <w:tabs>
          <w:tab w:val="left" w:pos="2318"/>
        </w:tabs>
        <w:rPr>
          <w:rFonts w:asciiTheme="majorHAnsi" w:hAnsiTheme="majorHAnsi" w:cs="Times New Roman"/>
          <w:b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5"/>
          <w:sz w:val="24"/>
          <w:szCs w:val="24"/>
        </w:rPr>
        <w:t>Класс, учитель:  11«А» класс,  Дзоциева М.У</w:t>
      </w:r>
      <w:r>
        <w:rPr>
          <w:rFonts w:asciiTheme="majorHAnsi" w:hAnsiTheme="majorHAnsi" w:cs="Times New Roman"/>
          <w:b/>
          <w:bCs/>
          <w:spacing w:val="-5"/>
          <w:sz w:val="24"/>
          <w:szCs w:val="24"/>
        </w:rPr>
        <w:t>.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>Количество учащихся в классе: 20</w:t>
      </w:r>
    </w:p>
    <w:p w:rsidR="00C531BC" w:rsidRPr="00CE4C38" w:rsidRDefault="00C531BC" w:rsidP="00C531BC">
      <w:pPr>
        <w:shd w:val="clear" w:color="auto" w:fill="FFFFFF"/>
        <w:spacing w:before="5"/>
        <w:rPr>
          <w:rFonts w:asciiTheme="majorHAnsi" w:hAnsiTheme="majorHAnsi" w:cs="Times New Roman"/>
          <w:b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>Присутствовали на уроке: 18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z w:val="24"/>
          <w:szCs w:val="24"/>
        </w:rPr>
        <w:t>Тема урока:  «Листая страницы истории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родного края</w:t>
      </w:r>
      <w:r w:rsidRPr="00CE4C38">
        <w:rPr>
          <w:rFonts w:asciiTheme="majorHAnsi" w:hAnsiTheme="majorHAnsi" w:cs="Times New Roman"/>
          <w:b/>
          <w:sz w:val="24"/>
          <w:szCs w:val="24"/>
        </w:rPr>
        <w:t>»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bCs/>
          <w:spacing w:val="-2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Тип урока: </w:t>
      </w:r>
      <w:r w:rsidRPr="00CE4C38">
        <w:rPr>
          <w:rFonts w:asciiTheme="majorHAnsi" w:hAnsiTheme="majorHAnsi" w:cs="Times New Roman"/>
          <w:bCs/>
          <w:spacing w:val="-2"/>
          <w:sz w:val="24"/>
          <w:szCs w:val="24"/>
        </w:rPr>
        <w:t>контрольный</w:t>
      </w: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 </w:t>
      </w:r>
      <w:r w:rsidRPr="00CE4C38">
        <w:rPr>
          <w:rFonts w:asciiTheme="majorHAnsi" w:hAnsiTheme="majorHAnsi" w:cs="Times New Roman"/>
          <w:bCs/>
          <w:spacing w:val="-2"/>
          <w:sz w:val="24"/>
          <w:szCs w:val="24"/>
        </w:rPr>
        <w:t xml:space="preserve">урок </w:t>
      </w:r>
    </w:p>
    <w:p w:rsidR="00C531BC" w:rsidRPr="00CE4C38" w:rsidRDefault="00C531BC" w:rsidP="00C531BC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>Форма урока:</w:t>
      </w:r>
      <w:r w:rsidRPr="00CE4C38">
        <w:rPr>
          <w:rFonts w:asciiTheme="majorHAnsi" w:hAnsiTheme="majorHAnsi" w:cs="Times New Roman"/>
          <w:bCs/>
          <w:spacing w:val="-2"/>
          <w:sz w:val="24"/>
          <w:szCs w:val="24"/>
        </w:rPr>
        <w:t xml:space="preserve"> </w:t>
      </w:r>
      <w:r w:rsidRPr="00CE4C38">
        <w:rPr>
          <w:rFonts w:asciiTheme="majorHAnsi" w:hAnsiTheme="majorHAnsi" w:cs="Times New Roman"/>
          <w:color w:val="000000"/>
          <w:sz w:val="24"/>
          <w:szCs w:val="24"/>
        </w:rPr>
        <w:t>урок</w:t>
      </w:r>
      <w:r w:rsidRPr="00CE4C38">
        <w:rPr>
          <w:rFonts w:asciiTheme="majorHAnsi" w:hAnsiTheme="majorHAnsi" w:cs="Times New Roman"/>
          <w:bCs/>
          <w:spacing w:val="-2"/>
          <w:sz w:val="24"/>
          <w:szCs w:val="24"/>
        </w:rPr>
        <w:t>-викторина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bCs/>
          <w:spacing w:val="-2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Дидактическая задача урока: </w:t>
      </w:r>
      <w:r w:rsidRPr="00CE4C38">
        <w:rPr>
          <w:rFonts w:asciiTheme="majorHAnsi" w:hAnsiTheme="majorHAnsi" w:cs="Times New Roman"/>
          <w:sz w:val="24"/>
          <w:szCs w:val="24"/>
        </w:rPr>
        <w:t>формирование коммуникативной компетенции обучающихся.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b/>
          <w:bCs/>
          <w:spacing w:val="-2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pacing w:val="-2"/>
          <w:sz w:val="24"/>
          <w:szCs w:val="24"/>
        </w:rPr>
        <w:t xml:space="preserve">Цели урока (образовательная, воспитательная, развивающая): </w:t>
      </w:r>
    </w:p>
    <w:p w:rsidR="00C531BC" w:rsidRPr="00CE4C38" w:rsidRDefault="00C531BC" w:rsidP="00C531BC">
      <w:pPr>
        <w:pStyle w:val="a5"/>
        <w:rPr>
          <w:rFonts w:asciiTheme="majorHAnsi" w:hAnsiTheme="majorHAnsi" w:cs="Times New Roman"/>
          <w:b/>
          <w:sz w:val="24"/>
          <w:szCs w:val="24"/>
        </w:rPr>
      </w:pPr>
      <w:r w:rsidRPr="00CE4C38">
        <w:rPr>
          <w:rFonts w:asciiTheme="majorHAnsi" w:hAnsiTheme="majorHAnsi" w:cs="Times New Roman"/>
          <w:b/>
          <w:sz w:val="24"/>
          <w:szCs w:val="24"/>
        </w:rPr>
        <w:t>Образовательная:</w:t>
      </w:r>
      <w:r w:rsidRPr="00CE4C38">
        <w:rPr>
          <w:rFonts w:asciiTheme="majorHAnsi" w:hAnsiTheme="majorHAnsi" w:cs="Times New Roman"/>
          <w:sz w:val="24"/>
          <w:szCs w:val="24"/>
        </w:rPr>
        <w:t xml:space="preserve"> формировать навыки самостоятельной работы в группах с применением усвоенных знаний. Формирование коммуникативной компетенции обучающихся</w:t>
      </w:r>
      <w:r w:rsidRPr="00CE4C38">
        <w:rPr>
          <w:rFonts w:asciiTheme="majorHAnsi" w:hAnsiTheme="majorHAnsi" w:cs="Times New Roman"/>
          <w:b/>
          <w:sz w:val="24"/>
          <w:szCs w:val="24"/>
        </w:rPr>
        <w:t>.</w:t>
      </w:r>
    </w:p>
    <w:p w:rsidR="00C531BC" w:rsidRPr="00CE4C38" w:rsidRDefault="00C531BC" w:rsidP="00C531BC">
      <w:pPr>
        <w:pStyle w:val="a5"/>
        <w:rPr>
          <w:rFonts w:asciiTheme="majorHAnsi" w:hAnsiTheme="majorHAnsi" w:cs="Times New Roman"/>
          <w:sz w:val="24"/>
          <w:szCs w:val="24"/>
        </w:rPr>
      </w:pPr>
      <w:r w:rsidRPr="00CE4C38">
        <w:rPr>
          <w:rFonts w:asciiTheme="majorHAnsi" w:hAnsiTheme="majorHAnsi" w:cs="Times New Roman"/>
          <w:b/>
          <w:sz w:val="24"/>
          <w:szCs w:val="24"/>
        </w:rPr>
        <w:t>Развивающая:</w:t>
      </w:r>
      <w:r w:rsidRPr="00CE4C38">
        <w:rPr>
          <w:rFonts w:asciiTheme="majorHAnsi" w:hAnsiTheme="majorHAnsi" w:cs="Times New Roman"/>
          <w:sz w:val="24"/>
          <w:szCs w:val="24"/>
        </w:rPr>
        <w:t xml:space="preserve"> развивать познавательный интерес обучающихся; расширение кругозора.</w:t>
      </w:r>
    </w:p>
    <w:p w:rsidR="00C531BC" w:rsidRPr="00CE4C38" w:rsidRDefault="00C531BC" w:rsidP="00C531BC">
      <w:pPr>
        <w:pStyle w:val="a5"/>
        <w:rPr>
          <w:rFonts w:asciiTheme="majorHAnsi" w:hAnsiTheme="majorHAnsi" w:cs="Times New Roman"/>
          <w:sz w:val="24"/>
          <w:szCs w:val="24"/>
        </w:rPr>
      </w:pPr>
      <w:r w:rsidRPr="00CE4C38">
        <w:rPr>
          <w:rFonts w:asciiTheme="majorHAnsi" w:hAnsiTheme="majorHAnsi" w:cs="Times New Roman"/>
          <w:b/>
          <w:sz w:val="24"/>
          <w:szCs w:val="24"/>
        </w:rPr>
        <w:t>Воспитательная:</w:t>
      </w:r>
      <w:r w:rsidRPr="00CE4C38">
        <w:rPr>
          <w:rFonts w:asciiTheme="majorHAnsi" w:hAnsiTheme="majorHAnsi" w:cs="Times New Roman"/>
          <w:sz w:val="24"/>
          <w:szCs w:val="24"/>
        </w:rPr>
        <w:t xml:space="preserve"> формирование уважения и интереса к  истории и культуре.</w:t>
      </w:r>
    </w:p>
    <w:p w:rsidR="00C531BC" w:rsidRPr="00CE4C38" w:rsidRDefault="00C531BC" w:rsidP="00C531BC">
      <w:pPr>
        <w:pStyle w:val="a5"/>
        <w:rPr>
          <w:rFonts w:asciiTheme="majorHAnsi" w:hAnsiTheme="majorHAnsi" w:cs="Times New Roman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z w:val="24"/>
          <w:szCs w:val="24"/>
        </w:rPr>
        <w:t xml:space="preserve">Планируемые </w:t>
      </w:r>
      <w:r w:rsidRPr="00CE4C38">
        <w:rPr>
          <w:rFonts w:asciiTheme="majorHAnsi" w:hAnsiTheme="majorHAnsi" w:cs="Times New Roman"/>
          <w:b/>
          <w:bCs/>
          <w:iCs/>
          <w:sz w:val="24"/>
          <w:szCs w:val="24"/>
        </w:rPr>
        <w:t>метапредметные</w:t>
      </w:r>
      <w:r w:rsidRPr="00CE4C38">
        <w:rPr>
          <w:rFonts w:asciiTheme="majorHAnsi" w:hAnsiTheme="majorHAnsi" w:cs="Times New Roman"/>
          <w:b/>
          <w:bCs/>
          <w:sz w:val="24"/>
          <w:szCs w:val="24"/>
        </w:rPr>
        <w:t xml:space="preserve"> результаты</w:t>
      </w:r>
      <w:r w:rsidRPr="00CE4C38">
        <w:rPr>
          <w:rFonts w:asciiTheme="majorHAnsi" w:hAnsiTheme="majorHAnsi" w:cs="Times New Roman"/>
          <w:b/>
          <w:sz w:val="24"/>
          <w:szCs w:val="24"/>
        </w:rPr>
        <w:t>:</w:t>
      </w:r>
      <w:r w:rsidRPr="00CE4C38">
        <w:rPr>
          <w:rFonts w:asciiTheme="majorHAnsi" w:hAnsiTheme="majorHAnsi" w:cs="Times New Roman"/>
          <w:sz w:val="24"/>
          <w:szCs w:val="24"/>
        </w:rPr>
        <w:t xml:space="preserve"> способствовать формированию умения сравнивать, обобщать, группировать, анализировать.</w:t>
      </w:r>
    </w:p>
    <w:p w:rsidR="00C531BC" w:rsidRPr="00CE4C38" w:rsidRDefault="00C531BC" w:rsidP="00C531BC">
      <w:pPr>
        <w:pStyle w:val="a5"/>
        <w:rPr>
          <w:rFonts w:asciiTheme="majorHAnsi" w:hAnsiTheme="majorHAnsi" w:cs="Times New Roman"/>
          <w:sz w:val="24"/>
          <w:szCs w:val="24"/>
        </w:rPr>
      </w:pPr>
      <w:r w:rsidRPr="00CE4C38">
        <w:rPr>
          <w:rFonts w:asciiTheme="majorHAnsi" w:hAnsiTheme="majorHAnsi" w:cs="Times New Roman"/>
          <w:b/>
          <w:bCs/>
          <w:sz w:val="24"/>
          <w:szCs w:val="24"/>
        </w:rPr>
        <w:t xml:space="preserve">Планируемые </w:t>
      </w:r>
      <w:r w:rsidRPr="00CE4C38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личностные </w:t>
      </w:r>
      <w:r w:rsidRPr="00CE4C38">
        <w:rPr>
          <w:rFonts w:asciiTheme="majorHAnsi" w:hAnsiTheme="majorHAnsi" w:cs="Times New Roman"/>
          <w:b/>
          <w:bCs/>
          <w:sz w:val="24"/>
          <w:szCs w:val="24"/>
        </w:rPr>
        <w:t>результаты</w:t>
      </w:r>
      <w:r w:rsidRPr="00CE4C38">
        <w:rPr>
          <w:rFonts w:asciiTheme="majorHAnsi" w:hAnsiTheme="majorHAnsi" w:cs="Times New Roman"/>
          <w:b/>
          <w:sz w:val="24"/>
          <w:szCs w:val="24"/>
        </w:rPr>
        <w:t>:</w:t>
      </w:r>
      <w:r w:rsidRPr="00CE4C38">
        <w:rPr>
          <w:rFonts w:asciiTheme="majorHAnsi" w:hAnsiTheme="majorHAnsi" w:cs="Times New Roman"/>
          <w:sz w:val="24"/>
          <w:szCs w:val="24"/>
        </w:rPr>
        <w:t xml:space="preserve"> оценивание усваиваемых знаний исходя из социальных и личностных ценностей.</w:t>
      </w:r>
    </w:p>
    <w:p w:rsidR="00C531BC" w:rsidRPr="00CE4C38" w:rsidRDefault="00C531BC" w:rsidP="00C531BC">
      <w:pPr>
        <w:shd w:val="clear" w:color="auto" w:fill="FFFFFF"/>
        <w:rPr>
          <w:rFonts w:asciiTheme="majorHAnsi" w:hAnsiTheme="majorHAnsi" w:cs="Times New Roman"/>
          <w:bCs/>
          <w:spacing w:val="-2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0631"/>
      </w:tblGrid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sz w:val="24"/>
                <w:szCs w:val="24"/>
              </w:rPr>
              <w:t>Ведущие аспекты анализа урока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наблюдения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Дидактическая задача урока (краткий оценочный анализ)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ind w:left="-108"/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Урок соответствует дидактической задаче урока. Дидактическ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ая задача урока решена успешно.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Содержание урока соответствует содержанию программы и учебника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 xml:space="preserve">Методы обучения (привлечение полученных ранее знаний, расширение лингвострановедческого кругозора, закрепление изученного на уроке, представление презентаций учащихся, викторина  и др.) соответствуют решению триединой образовательной цели. 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Используются различные формы работы на уроке (групповая, индивидуальная, коллективная) для решения основной дидактической задачи урока.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Предложенные задания соответствуют решению задач урока. 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Результативность урока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Основная дидактическая задача урока достигнута.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Вопросы, упражнения и задачи, предлагаемые для выполнения, направлены на умение на практике применить полученные знания.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1.Уровень самостоятельности школьников при решении дидактической задачи урока высок.  Учащиеся показали хорошие страноведческие знания, умение выражать свои мысли в соответствии с задачами и условиями коммуникации, умение работать в команде.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2. Характер самостоятельной учебной деятельности творческий.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10631" w:type="dxa"/>
          </w:tcPr>
          <w:p w:rsidR="00C531BC" w:rsidRPr="00236E7E" w:rsidRDefault="00C531BC" w:rsidP="00CD1227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На уроке присутствуют УУД: личностные (формирование уважения и интереса к другой культуре), познавательные (закрепление страноведческих знаний учащихся), коммуникативные (сравнение, работа по группам), регулятивные (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>обучающиеся умеют выявлять проблему, увидеть главное)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Формирование ИКТ- компетентности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На уроке применяется работа с презентацией.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Структура урока соответствует основной дидактической задаче.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Педагогический стиль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Соблюдаются нормы педагогической этики.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Проблемная технология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Цель применения: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способствовать развитию проблемного мышления учащихся.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Компетенции, формируемые у обучающихся: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коммуникативные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Умения и навыки, формируемые у обучающихся: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извлечение информации, способность делать логические выводы, умение решать проблемы, вести диалог.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Результативность использования: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обучающиеся умеют выявлять проблему, отсекать второстепенное, увидеть главное.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Элементы технологии  критического мышления.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Цель применения: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Обеспечить развитие критического мышления посредством интерактивного включения учащихся в образовательный процесс.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Компетенции, формируемые у обучающихся: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учебно-познавательная, коммуникативная,  личностного 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самосовершенствования, ценностно-смысловая.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Умения и навыки, формируемые у обучающихся: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способствует взаимоуважению партнеров, пониманию и продуктивному взаимодействию.</w:t>
            </w:r>
          </w:p>
          <w:p w:rsidR="00C531BC" w:rsidRPr="00CE4C38" w:rsidRDefault="00C531BC" w:rsidP="00CD1227">
            <w:p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Результативность использования: </w:t>
            </w:r>
            <w:r w:rsidRPr="00CE4C38">
              <w:rPr>
                <w:rFonts w:asciiTheme="majorHAnsi" w:hAnsiTheme="majorHAnsi" w:cs="Times New Roman"/>
                <w:bCs/>
                <w:sz w:val="24"/>
                <w:szCs w:val="24"/>
              </w:rPr>
              <w:t>позволяет сделать наглядными те мыслительные процессы, которые происходят при погружении в ту или иную тему и охватить избыточный объем информации; способствует  лучшему запоминанию материала.</w:t>
            </w:r>
          </w:p>
        </w:tc>
      </w:tr>
      <w:tr w:rsidR="00C531BC" w:rsidRPr="00CE4C38" w:rsidTr="00CD1227">
        <w:tc>
          <w:tcPr>
            <w:tcW w:w="4503" w:type="dxa"/>
          </w:tcPr>
          <w:p w:rsidR="00C531BC" w:rsidRPr="00CE4C38" w:rsidRDefault="00C531BC" w:rsidP="00CD122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Применение здоровьесберегающих технологий </w:t>
            </w:r>
          </w:p>
        </w:tc>
        <w:tc>
          <w:tcPr>
            <w:tcW w:w="10631" w:type="dxa"/>
          </w:tcPr>
          <w:p w:rsidR="00C531BC" w:rsidRPr="00CE4C38" w:rsidRDefault="00C531BC" w:rsidP="00CD1227">
            <w:pPr>
              <w:pStyle w:val="a5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E4C38">
              <w:rPr>
                <w:rFonts w:asciiTheme="majorHAnsi" w:hAnsiTheme="majorHAnsi" w:cs="Times New Roman"/>
                <w:sz w:val="24"/>
                <w:szCs w:val="24"/>
              </w:rPr>
              <w:t>Психологический климат на уроке положительный, учитель поддерживает учащихся одобрительной оценкой, соблюдает требования к использованию ТСО, следит за посадкой. Учащиеся непосредственны, свободны в выражении своих мыслей. На уроке чередуются различные виды деятельности.</w:t>
            </w:r>
          </w:p>
        </w:tc>
      </w:tr>
    </w:tbl>
    <w:p w:rsidR="00C531BC" w:rsidRDefault="00C531BC" w:rsidP="00C531BC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30116" w:rsidRDefault="00C531BC">
      <w:bookmarkStart w:id="0" w:name="_GoBack"/>
      <w:bookmarkEnd w:id="0"/>
    </w:p>
    <w:sectPr w:rsidR="00B30116" w:rsidSect="00E42585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B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2073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531B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2022-03-22T11:50:00Z</dcterms:created>
  <dcterms:modified xsi:type="dcterms:W3CDTF">2022-03-22T11:51:00Z</dcterms:modified>
</cp:coreProperties>
</file>