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Pr="007856E1" w:rsidRDefault="00130F2B" w:rsidP="00130F2B">
      <w:pPr>
        <w:ind w:left="-1134" w:right="-290"/>
        <w:jc w:val="center"/>
        <w:rPr>
          <w:rFonts w:ascii="Times New Roman" w:hAnsi="Times New Roman"/>
          <w:b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b/>
          <w:i w:val="0"/>
          <w:szCs w:val="24"/>
          <w:u w:val="single"/>
          <w:lang w:val="ru-RU"/>
        </w:rPr>
        <w:t xml:space="preserve">6. Технология </w:t>
      </w:r>
      <w:proofErr w:type="spellStart"/>
      <w:r w:rsidRPr="007856E1">
        <w:rPr>
          <w:rFonts w:ascii="Times New Roman" w:hAnsi="Times New Roman"/>
          <w:b/>
          <w:i w:val="0"/>
          <w:szCs w:val="24"/>
          <w:u w:val="single"/>
          <w:lang w:val="ru-RU"/>
        </w:rPr>
        <w:t>филосовского</w:t>
      </w:r>
      <w:proofErr w:type="spellEnd"/>
      <w:r w:rsidRPr="007856E1">
        <w:rPr>
          <w:rFonts w:ascii="Times New Roman" w:hAnsi="Times New Roman"/>
          <w:b/>
          <w:i w:val="0"/>
          <w:szCs w:val="24"/>
          <w:u w:val="single"/>
          <w:lang w:val="ru-RU"/>
        </w:rPr>
        <w:t xml:space="preserve"> диалога</w:t>
      </w:r>
    </w:p>
    <w:p w:rsidR="00130F2B" w:rsidRPr="007856E1" w:rsidRDefault="00130F2B" w:rsidP="00130F2B">
      <w:pPr>
        <w:ind w:left="-1134" w:right="-290"/>
        <w:jc w:val="center"/>
        <w:rPr>
          <w:rFonts w:ascii="Times New Roman" w:hAnsi="Times New Roman"/>
          <w:b/>
          <w:i w:val="0"/>
          <w:szCs w:val="24"/>
          <w:lang w:val="ru-RU"/>
        </w:rPr>
      </w:pPr>
    </w:p>
    <w:tbl>
      <w:tblPr>
        <w:tblW w:w="1102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420"/>
        <w:gridCol w:w="4428"/>
      </w:tblGrid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Этапы</w:t>
            </w:r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Деятельность учащихся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ind w:right="34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Совместное чтение какого то текста</w:t>
            </w:r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34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Читает учитель. Перед чтением дать задание, например: задайте вопрос/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Слушают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Постановка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вопросов</w:t>
            </w:r>
            <w:proofErr w:type="spellEnd"/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Фиксирует вопросы на доске или печатает на экране, можно даже имена детей.</w:t>
            </w:r>
          </w:p>
          <w:p w:rsidR="00130F2B" w:rsidRPr="007856E1" w:rsidRDefault="00130F2B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Перед фиксацией учитель говорит: задайте вопросы, относящиеся к тексту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34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Задают любые вопросы, относящиеся к прочитанному тексту.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Выбор вопроса для совместного обсуждения</w:t>
            </w:r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-108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Предлагает выбрать один вопрос для обсуждения свой выбор. Ответив на этот вопрос, мы сможем ответить на все другие вопросы.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34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Вступают в коммуникацию по поводу выбора вопроса, обосновывая свое мнение, пытаются убедить друг друга в правильности своего выбора, сравнивая вопросы пытаются доказать, что их вопрос наиважнейший.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Диалог между носителями несовпадающих познавательных позиций</w:t>
            </w:r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-17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Выполняет контрольную и диспетчерскую функцию. Устно фиксирует противоречия, направляя внимание группы на эти противоречия, следит за правилами ведения диалога, но при этом не делает замечания.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Диалог между детьми, имеющими разные точки зрения. Дети доказывают друг другу свою позицию обосновывают, аргументируют свою позицию.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Итог</w:t>
            </w:r>
            <w:proofErr w:type="spellEnd"/>
          </w:p>
        </w:tc>
        <w:tc>
          <w:tcPr>
            <w:tcW w:w="4420" w:type="dxa"/>
          </w:tcPr>
          <w:p w:rsidR="00130F2B" w:rsidRPr="007856E1" w:rsidRDefault="00130F2B" w:rsidP="00B4140A">
            <w:pPr>
              <w:ind w:right="-14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Учит, обращает внимание на алгоритм договора: что удалось, что не удалось, почему не удалось, не получилось, но не делает однозначно правильного вывода итогов, не принимает ни одну позицию и не дает оценку, там где деятельность детей.</w:t>
            </w:r>
          </w:p>
        </w:tc>
        <w:tc>
          <w:tcPr>
            <w:tcW w:w="4428" w:type="dxa"/>
          </w:tcPr>
          <w:p w:rsidR="00130F2B" w:rsidRPr="007856E1" w:rsidRDefault="00130F2B" w:rsidP="00B4140A">
            <w:pPr>
              <w:ind w:right="-290"/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Незавершенность дискуссии вызывает у детей, желание дальнейшего, самостоятельного поиска, осмысление поставленного вопроса сохраняет притягательность проблемы. </w:t>
            </w:r>
            <w:r w:rsidRPr="007856E1">
              <w:rPr>
                <w:rFonts w:ascii="Times New Roman" w:hAnsi="Times New Roman"/>
                <w:i w:val="0"/>
                <w:szCs w:val="24"/>
              </w:rPr>
              <w:t xml:space="preserve">В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этом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заложенный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психологический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ключик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</w:tr>
      <w:tr w:rsidR="00130F2B" w:rsidRPr="007856E1" w:rsidTr="00B4140A">
        <w:tc>
          <w:tcPr>
            <w:tcW w:w="2175" w:type="dxa"/>
          </w:tcPr>
          <w:p w:rsidR="00130F2B" w:rsidRPr="007856E1" w:rsidRDefault="00130F2B" w:rsidP="00B4140A">
            <w:pPr>
              <w:ind w:left="-851" w:right="566" w:firstLine="425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4420" w:type="dxa"/>
          </w:tcPr>
          <w:p w:rsidR="00130F2B" w:rsidRPr="007856E1" w:rsidRDefault="00130F2B" w:rsidP="00B4140A">
            <w:pPr>
              <w:ind w:left="-851" w:right="566" w:firstLine="425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4428" w:type="dxa"/>
          </w:tcPr>
          <w:p w:rsidR="00130F2B" w:rsidRPr="007856E1" w:rsidRDefault="00130F2B" w:rsidP="00B4140A">
            <w:pPr>
              <w:ind w:left="-851" w:right="566" w:firstLine="425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9E7CE1" w:rsidRDefault="009E7CE1"/>
    <w:sectPr w:rsidR="009E7CE1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30F2B"/>
    <w:rsid w:val="00130F2B"/>
    <w:rsid w:val="009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2B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2013-12-05T12:40:00Z</dcterms:created>
  <dcterms:modified xsi:type="dcterms:W3CDTF">2013-12-05T12:40:00Z</dcterms:modified>
</cp:coreProperties>
</file>