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5"/>
        <w:gridCol w:w="3876"/>
      </w:tblGrid>
      <w:tr w:rsidR="00100FD1" w:rsidRPr="00100FD1" w:rsidTr="00E034CB">
        <w:trPr>
          <w:trHeight w:val="274"/>
        </w:trPr>
        <w:tc>
          <w:tcPr>
            <w:tcW w:w="6615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 xml:space="preserve">Творческая часть ученика </w:t>
            </w:r>
          </w:p>
        </w:tc>
        <w:tc>
          <w:tcPr>
            <w:tcW w:w="3876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Комментарии</w:t>
            </w:r>
          </w:p>
        </w:tc>
      </w:tr>
      <w:tr w:rsidR="00100FD1" w:rsidRPr="00100FD1" w:rsidTr="00E034CB">
        <w:trPr>
          <w:trHeight w:val="274"/>
        </w:trPr>
        <w:tc>
          <w:tcPr>
            <w:tcW w:w="6615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Вряд ли кто-то из нас может похвастаться тем, что не разу в жизни не наблюдал, как в мгновение ока человек из кроткого и тихого превращается в важного и чрезвычайно гордого.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</w:tc>
        <w:tc>
          <w:tcPr>
            <w:tcW w:w="3876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Вступление вводит в ситуацию, подготавливает формулировку проблемы.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ни разу- в значении никогда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</w:tc>
      </w:tr>
      <w:tr w:rsidR="00100FD1" w:rsidRPr="00100FD1" w:rsidTr="00E034CB">
        <w:trPr>
          <w:trHeight w:val="274"/>
        </w:trPr>
        <w:tc>
          <w:tcPr>
            <w:tcW w:w="6615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В этом тексте Гоголь поднимает проблему того, что в зависимости от сложившейся ситуации человек ведет себя по-разному с разными людьми. И к большому сожалению мы очень часто встречаемся с подхалимством, хамством и лицемерием.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</w:tc>
        <w:tc>
          <w:tcPr>
            <w:tcW w:w="3876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Проблема сформулирована четко, но не очень хорошо грамматически оформлена: проблему того, что ..., к большому сожалению,... -вводное слово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</w:tc>
      </w:tr>
      <w:tr w:rsidR="00100FD1" w:rsidRPr="00100FD1" w:rsidTr="00E034CB">
        <w:trPr>
          <w:trHeight w:val="258"/>
        </w:trPr>
        <w:tc>
          <w:tcPr>
            <w:tcW w:w="6615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Это нравственная проблема и не может оставить нас равнодушными, потому что нравственность - одна из наиболее важных, существенных составляющих жизни общества. И хотя Гоголь весьма неотчетливо рисует место действия («положим, например, существует канцелярия, не здесь, а в тридесятом царстве»), мы прекрасно понимаем, что речь идет о повсеместном распространение этого явления «у нас на Руси».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</w:tc>
        <w:tc>
          <w:tcPr>
            <w:tcW w:w="3876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Комментарий: указан тип проблемы, степень распространенности, показано, под каким углом писатель рассматривает проблему. О распространении (на ия-п.п.)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</w:tc>
      </w:tr>
      <w:tr w:rsidR="00100FD1" w:rsidRPr="00100FD1" w:rsidTr="00E034CB">
        <w:trPr>
          <w:trHeight w:val="274"/>
        </w:trPr>
        <w:tc>
          <w:tcPr>
            <w:tcW w:w="6615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Во всем тексте, буквально в каждой строчке видно, с какой иронией Гоголь изображает, как «Прометей» за несколько мгновений превращается в «куропатку». Не считая такое поведение допустимым, автор недвусмысленно показывает свое отношение к людям, которые не брезгают переступать через все моральные принципы и устои ради достижения цели.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Я абсолютно согласна с Гоголем: не думаю, что какие бы то ни было блага стоят того, чтобы ради них уничтожаться «в песчинку».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</w:tc>
        <w:tc>
          <w:tcPr>
            <w:tcW w:w="3876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Первое предложение абзаца продолжает комментарий, во втором достаточно убедительно сформулирована позиция автора: недопустимо ради своих целей переступать через нравственные принципы. Четко заявлена собственная позиция.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</w:tc>
      </w:tr>
      <w:tr w:rsidR="00100FD1" w:rsidRPr="00100FD1" w:rsidTr="00E034CB">
        <w:trPr>
          <w:trHeight w:val="274"/>
        </w:trPr>
        <w:tc>
          <w:tcPr>
            <w:tcW w:w="6615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«В чин лисой, а в чине волком»_-так гласит русская пословица. И далеко не один только Гоголь высмеивал такие человеческие качества. Способность русского человека к мимикрии раздражала и А.П. Чехова: герой известного рассказа «Хамелеон» меняет свое отношение к происходящему даже без какой-либо особенной выгоды в зависимости оттого, кому принадлежит собака: человеку с чином или без него, что еще раз свидетельствует, насколько лицемерие въелось в природу людей. У Маяковского есть стихотворение «Подлиза»: Этот тип народа тих И бесформен, словно студень. Очень многие из них В наши дни выходят в люди.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В эти строках мы явно видим иронию, с которой Маяковский относится к «нежному способу обхождения».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</w:tc>
        <w:tc>
          <w:tcPr>
            <w:tcW w:w="3876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Три аргумента есть и достаточно убедительные, но третий из них носит бытовой, сниженный характер и, главное, подтверждает не тот тезис, который сформулирован в собственной позиции (никакие блага не стоят того, чтобы уничтожаться в песчинку "П.р,-" а.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Отсутствует запятая при прямой речи</w:t>
            </w:r>
          </w:p>
        </w:tc>
      </w:tr>
      <w:tr w:rsidR="00100FD1" w:rsidRPr="00100FD1" w:rsidTr="00E034CB">
        <w:trPr>
          <w:trHeight w:val="274"/>
        </w:trPr>
        <w:tc>
          <w:tcPr>
            <w:tcW w:w="6615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Почти каждый раз езжу в метро. Не один раз видела, как вовсе не пожилая женщина забегает в вагон и буквально за шкирку стаскивает ребенка с места и садится сама. Очень я сомневаюсь, что эта же женщина вздумала так же поступить хотя бы с подростком. А все почему? Вряд ли маленький ребенок сможет хоть слово сказать в свою защиту, подросток же скорее всего не потерпит такого к себе отношения. А чем маленький ребенок хуже подростка? Просто он беззащитен и на откровенное хамство ответить не может. Предполагаю, что тех же принципов такая дама придерживается и на службе.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</w:tc>
        <w:tc>
          <w:tcPr>
            <w:tcW w:w="3876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Нет перехода от второго к третьему тезису.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</w:tc>
      </w:tr>
      <w:tr w:rsidR="00100FD1" w:rsidRPr="00100FD1" w:rsidTr="00E034CB">
        <w:trPr>
          <w:trHeight w:val="842"/>
        </w:trPr>
        <w:tc>
          <w:tcPr>
            <w:tcW w:w="6615" w:type="dxa"/>
          </w:tcPr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Не думаю, что мы можем как-то изменить «этот тип народа». Единственное,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 xml:space="preserve">что мы можем сделать - это пожалуй самим оставаться верными своим </w:t>
            </w:r>
          </w:p>
          <w:p w:rsidR="00100FD1" w:rsidRPr="00E034CB" w:rsidRDefault="00100FD1" w:rsidP="00100FD1">
            <w:pPr>
              <w:rPr>
                <w:sz w:val="16"/>
                <w:szCs w:val="16"/>
              </w:rPr>
            </w:pPr>
            <w:r w:rsidRPr="00E034CB">
              <w:rPr>
                <w:sz w:val="16"/>
                <w:szCs w:val="16"/>
              </w:rPr>
              <w:t>принципам.</w:t>
            </w:r>
          </w:p>
        </w:tc>
        <w:tc>
          <w:tcPr>
            <w:tcW w:w="3876" w:type="dxa"/>
          </w:tcPr>
          <w:tbl>
            <w:tblPr>
              <w:tblW w:w="0" w:type="auto"/>
              <w:tblInd w:w="48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855"/>
            </w:tblGrid>
            <w:tr w:rsidR="00100FD1" w:rsidRPr="00E034CB" w:rsidTr="0005754A">
              <w:tc>
                <w:tcPr>
                  <w:tcW w:w="2855" w:type="dxa"/>
                  <w:tcBorders>
                    <w:top w:val="single" w:sz="6" w:space="0" w:color="auto"/>
                    <w:bottom w:val="nil"/>
                    <w:right w:val="nil"/>
                  </w:tcBorders>
                </w:tcPr>
                <w:p w:rsidR="00100FD1" w:rsidRPr="00E034CB" w:rsidRDefault="00100FD1" w:rsidP="00100FD1">
                  <w:pPr>
                    <w:rPr>
                      <w:sz w:val="16"/>
                      <w:szCs w:val="16"/>
                    </w:rPr>
                  </w:pPr>
                  <w:r w:rsidRPr="00E034CB">
                    <w:rPr>
                      <w:sz w:val="16"/>
                      <w:szCs w:val="16"/>
                    </w:rPr>
                    <w:t>Заключение логически вытекает</w:t>
                  </w:r>
                </w:p>
              </w:tc>
            </w:tr>
            <w:tr w:rsidR="00100FD1" w:rsidRPr="00E034CB" w:rsidTr="0005754A">
              <w:tc>
                <w:tcPr>
                  <w:tcW w:w="2855" w:type="dxa"/>
                  <w:tcBorders>
                    <w:top w:val="nil"/>
                    <w:bottom w:val="nil"/>
                    <w:right w:val="nil"/>
                  </w:tcBorders>
                </w:tcPr>
                <w:p w:rsidR="00100FD1" w:rsidRPr="00E034CB" w:rsidRDefault="00100FD1" w:rsidP="00100FD1">
                  <w:pPr>
                    <w:rPr>
                      <w:sz w:val="16"/>
                      <w:szCs w:val="16"/>
                    </w:rPr>
                  </w:pPr>
                  <w:r w:rsidRPr="00E034CB">
                    <w:rPr>
                      <w:sz w:val="16"/>
                      <w:szCs w:val="16"/>
                    </w:rPr>
                    <w:t>из сочинения.</w:t>
                  </w:r>
                </w:p>
              </w:tc>
            </w:tr>
            <w:tr w:rsidR="00100FD1" w:rsidRPr="00E034CB" w:rsidTr="0005754A">
              <w:tc>
                <w:tcPr>
                  <w:tcW w:w="2855" w:type="dxa"/>
                  <w:tcBorders>
                    <w:top w:val="nil"/>
                    <w:bottom w:val="nil"/>
                    <w:right w:val="nil"/>
                  </w:tcBorders>
                </w:tcPr>
                <w:p w:rsidR="00100FD1" w:rsidRPr="00E034CB" w:rsidRDefault="00100FD1" w:rsidP="00100FD1">
                  <w:pPr>
                    <w:rPr>
                      <w:sz w:val="16"/>
                      <w:szCs w:val="16"/>
                    </w:rPr>
                  </w:pPr>
                  <w:r w:rsidRPr="00E034CB">
                    <w:rPr>
                      <w:sz w:val="16"/>
                      <w:szCs w:val="16"/>
                    </w:rPr>
                    <w:t>…пожалуй,…-вводное слово</w:t>
                  </w:r>
                </w:p>
              </w:tc>
            </w:tr>
          </w:tbl>
          <w:p w:rsidR="00100FD1" w:rsidRPr="00E034CB" w:rsidRDefault="00100FD1" w:rsidP="00100FD1">
            <w:pPr>
              <w:rPr>
                <w:sz w:val="16"/>
                <w:szCs w:val="16"/>
              </w:rPr>
            </w:pPr>
          </w:p>
        </w:tc>
      </w:tr>
    </w:tbl>
    <w:p w:rsidR="00BB08B5" w:rsidRDefault="00BB08B5">
      <w:bookmarkStart w:id="0" w:name="_GoBack"/>
      <w:bookmarkEnd w:id="0"/>
    </w:p>
    <w:sectPr w:rsidR="00BB08B5" w:rsidSect="00E03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F7" w:rsidRDefault="00ED15F7" w:rsidP="00E034CB">
      <w:pPr>
        <w:spacing w:after="0" w:line="240" w:lineRule="auto"/>
      </w:pPr>
      <w:r>
        <w:separator/>
      </w:r>
    </w:p>
  </w:endnote>
  <w:endnote w:type="continuationSeparator" w:id="1">
    <w:p w:rsidR="00ED15F7" w:rsidRDefault="00ED15F7" w:rsidP="00E0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CB" w:rsidRDefault="00E034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CB" w:rsidRDefault="00E034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CB" w:rsidRDefault="00E034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F7" w:rsidRDefault="00ED15F7" w:rsidP="00E034CB">
      <w:pPr>
        <w:spacing w:after="0" w:line="240" w:lineRule="auto"/>
      </w:pPr>
      <w:r>
        <w:separator/>
      </w:r>
    </w:p>
  </w:footnote>
  <w:footnote w:type="continuationSeparator" w:id="1">
    <w:p w:rsidR="00ED15F7" w:rsidRDefault="00ED15F7" w:rsidP="00E0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CB" w:rsidRDefault="00E03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CB" w:rsidRDefault="00E034CB">
    <w:pPr>
      <w:pStyle w:val="a3"/>
    </w:pPr>
    <w:r>
      <w:t>Приложение  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CB" w:rsidRDefault="00E034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FD1"/>
    <w:rsid w:val="00100FD1"/>
    <w:rsid w:val="00BB08B5"/>
    <w:rsid w:val="00D51373"/>
    <w:rsid w:val="00E034CB"/>
    <w:rsid w:val="00ED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4CB"/>
  </w:style>
  <w:style w:type="paragraph" w:styleId="a5">
    <w:name w:val="footer"/>
    <w:basedOn w:val="a"/>
    <w:link w:val="a6"/>
    <w:uiPriority w:val="99"/>
    <w:semiHidden/>
    <w:unhideWhenUsed/>
    <w:rsid w:val="00E0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F385-F8C6-40CF-8D2B-F515D2FB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3</cp:revision>
  <dcterms:created xsi:type="dcterms:W3CDTF">2012-04-28T07:14:00Z</dcterms:created>
  <dcterms:modified xsi:type="dcterms:W3CDTF">2013-01-29T11:31:00Z</dcterms:modified>
</cp:coreProperties>
</file>