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E7" w:rsidRPr="00D82883" w:rsidRDefault="00E838E7" w:rsidP="00D8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883">
        <w:rPr>
          <w:rFonts w:ascii="Times New Roman" w:hAnsi="Times New Roman"/>
          <w:b/>
          <w:sz w:val="24"/>
          <w:szCs w:val="24"/>
        </w:rPr>
        <w:t>Ход работы: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276"/>
        <w:gridCol w:w="992"/>
        <w:gridCol w:w="8363"/>
        <w:gridCol w:w="1843"/>
      </w:tblGrid>
      <w:tr w:rsidR="00E838E7" w:rsidRPr="00E731CD" w:rsidTr="00E731CD"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Методы и при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мы об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мы уче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ного вза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моде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838E7" w:rsidRPr="00E731CD" w:rsidTr="00E731CD"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зацио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ный м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установить эмоци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нальную связь; обеспечить настрой на констру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тивную 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боту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7" w:rsidRPr="00E731CD" w:rsidTr="00E731CD"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Мотив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ционно-целевой этап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обеспечить осознание неполноты имеющи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ся знаний, вызвать познав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тельный интерес, организ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вать фо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мулиров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блемы, спланир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вать иссл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дование 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создание пробле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ной с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ная, парная</w:t>
            </w: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Исторически сложилось, что познание окружающей действительности начиналось с наблюдений за какими-то явлениями. Например, древние люди заметили, что случайно брошенный в огонь кусочек глины приобретает такие свойства как прочность, водонепроницаемость и твердость. Это наблюдение положило начало гончарному делу. Сегодня на уроке и мы с вами попробуем сначала провести химический опыт, а потом, по его результатам сформулир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вать выводы. 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Формулирует задание: исследовать окраску индикаторов в среде пре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ложенных неизвестных веществ. Напоминает правила ТБ:  работать аккура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но, не пробовать вещества на вкус и не нюхать их в близком расстоянии, при попадании на кожу надо смыть ее струей воды. Н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>аливаем жидкость в проби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>ку осторожно, заранее проверив, не разбита ли она; пробирку держим над ло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>ком; не переливаем вещества из пробирки обратно в склянку; склянки закр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73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теми же пробками и крышками,  какими они были закрыты.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Наблюдает, координирует самостоятельную работу учащихся по инструкти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ной карте.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31CD">
              <w:rPr>
                <w:rFonts w:ascii="Times New Roman" w:hAnsi="Times New Roman"/>
                <w:sz w:val="24"/>
                <w:szCs w:val="24"/>
                <w:u w:val="single"/>
              </w:rPr>
              <w:t>Проведение опыта и оформление результатов: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1) Налейте в три пробирки по 1-2 мл  </w:t>
            </w:r>
            <w:r w:rsidRPr="00E731C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2) Затем в первую пробирку добавьте индикатор фенолфталеин.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3) Результаты наблюдений запишите в таблицу.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  <w:tab w:val="left" w:pos="10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4) Во вторую пробирку добавьте индикатор метилоранж.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5) Результаты наблюдений запишите в таблицу.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6) В третью пробирку добавьте индикатор лакмус.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7) Результаты наблюдений запишите в таблицу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6) Повторите опыты, описанные выше, используя </w:t>
            </w:r>
            <w:r w:rsidRPr="00E731C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1C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Стимулирует учащихся самостоятельно задавать вопросы и сделать выводы о проделанном эксперименте.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Какие предположения (гипотезы) можно выдвинуть по итогам продела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ного опыта?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1. вещества, налитые в пробирки не являются щелочами.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2. исследуемые вещества образуют новый, еще не изученный класс соедин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ний, в которых есть одинаковая частица Н</w:t>
            </w:r>
            <w:r w:rsidRPr="00E731CD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Правильно, в пробирках у вас представители нового класса соединений – К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СЛОТ, у которых обязательно на первом месте стоит ион водорода.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3. с помощью индикатора нельзя определить какая именно кислота налита в пробирку. Можно только уверенно утверждать, что перед вами кислота. Нез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висимо от вида кислоты индикаторы изменяют свой цвет одинаково; а это 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з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начает, что все кислоты обладают сходными свойствами.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А какой вывод наиболее важен?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Сегодня на мы уроке начинаем изучать Кислоты. Мы познакомимся со стро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нием и применением кислот, научимся узнавать кислоты в повседневной жи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з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Уясняют п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ставленную задачу, слуш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ют ТБ, орган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зуют правил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ное проведение эксперимента.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 формируют вопросы  и 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воды из прод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ланного эксп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римента.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Выдвигают г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потезу, что 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известные с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единения не похожи на из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ченные ранее и образуют 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вый класс.  </w:t>
            </w:r>
          </w:p>
        </w:tc>
      </w:tr>
      <w:tr w:rsidR="00E838E7" w:rsidRPr="00E731CD" w:rsidTr="00E731CD">
        <w:trPr>
          <w:trHeight w:val="2530"/>
        </w:trPr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Этап изучения нового мат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дать пре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ставление о кислотах, добиться от учащи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ся воспр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ятия и осознания новых зн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ний, сп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собов п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тей поиска новой 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Объясняет состав формул кислот и их названия, знакомит с физическими свойствами и физиологическим действием некоторых кислот.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На экране приведены формулы наиболее важных кислот. Запишите их.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Вы видите, что в состав всех кислот входит Н</w:t>
            </w:r>
            <w:r w:rsidRPr="00E731CD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. СЛЕДОВАТЕЛЬНО, все 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щие свойства кислот, в том числе изменение окраски индикаторов, связаны с ионом водорода.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Давайте запишем названия этих кислот. Кислота называется по атому нем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талла, который образует кислоту.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HCl – хлороводородная кислота. Как бы вы назвали следующие кислоты: HF, HBr, HI, H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S?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H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SO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и H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SO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– в середине стоит сера, поэтому первую (у которой больше кислорода) называют серной (богатая и важная), а вторую (у которой меньше кислорода) – сернистой (победнее и скромнее).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HNO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и HNO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. Назовите эти две кислоты по аналогии с кислотами серы.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Если закрыть водород, то остальная часть молекулы называется кислотным остатком. Как выдумаете, как определить заряд кислотного остатка?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Как вы думаете, по каким признакам можно классифицировать кислоты?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1.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ab/>
              <w:t>Растворимость в воде. Как вы видите из таблицы растворимости, единстве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ной нерастворимой в воде кислотой является кремниевая кислота.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2.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ab/>
              <w:t>Наличие кислорода. Делятся на две группы: кислородосодержащие и беск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слородные.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3.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ab/>
              <w:t xml:space="preserve">По числу атомов водорода: одноосновные, двухосновные, трехосновные.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Учащиеся сами распределяют кислоты по группам. По рассмотренным пр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знакам, опишите кислоту HNO</w:t>
            </w:r>
            <w:r w:rsidRPr="00E731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Само название «кислота» указывает на то, что эти вещества имеют кислый вкус. Только не следует пробовать на вкус все кислоты подряд!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Где встречаются кислоты в природе и окружающей жизни? О каких к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слотах вы уже слышали?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- в муравьях и крапиве встречается муравьиная кислота, которая используется в медицине для лечения ревматизма. 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Почему укусы крапивы так болезне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ны?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-голожаберные моллюски в порядке самообороны выстреливают парами се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ной кислоты.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-тропический паук педипальпа стреляют во врагов струйкой жидкости, соде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жащий 84% уксусной кислоты.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-лишайники выделяют кислоты, которые разрушают горные породы;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-мухоморы в качестве ядовитых токсинов «используют» иботеновую кислоту. Это вещество так ядовито, что мухомору незачем прятаться.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- лимоны  содержат лимонную кислоту, яблоки – яблочную, щавель - щавел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вую; 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 xml:space="preserve">- молочная кислота образуется в мышцах при физической работе;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i/>
                <w:sz w:val="24"/>
                <w:szCs w:val="24"/>
              </w:rPr>
              <w:t>Хлороводородная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кислота, другое, чаще употребляемое название ее, – соляная кислота. 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 xml:space="preserve">Что вы знаете о соляной кислоте? 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Это жидкость, без цвета и запаха, концентрированная дымит на воздухе; содержится в желудке. 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Полезно ли для человека наличие кислоты в желудке?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Она выполняет две функции: уни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ч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тожает большую часть микробов, которые попадают в желудок вместе с п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щей, и помогает перевариванию пищи. Желудок готовится к приему пищи з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ранее: лишь только мы начнем пережевывать пищу, он выделяет желудочный сок, содержащий соляную кислоту. Вот почему так вредно жевать жевател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ную резинку на голодный желудок, так как сок начнет переваривать стенки самого желудка.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i/>
                <w:sz w:val="24"/>
                <w:szCs w:val="24"/>
              </w:rPr>
              <w:t>Серная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кислота – тягучая жидкость, без цвета и запаха, хорошо поглощает 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ружающие пары воды. 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 xml:space="preserve">Где используется серная кислота? 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(аккумуляторы, батарейки). Демонстрационный опыт: обугливание сахара. 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 xml:space="preserve">Как вы думаете, опасна ли в использовании эта кислота? 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Концентрированная серная кисл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та требует особого обращения, работа с серной кислотой без соблюдения пр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вил ТБ может привести к серьезным ожогам. Ожоги эти страшны еще и тем, что при попытке смыть кислоту с кожи водой происходит химическая реа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ция, сопровождающаяся выделением теплоты. Поэтому человек получает не только химический, но и термический ожог. 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i/>
                <w:sz w:val="24"/>
                <w:szCs w:val="24"/>
              </w:rPr>
              <w:t>Азотная кислота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– бесцветная жидкость, на воздухе дымит бурым дымом. 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ботать с ней необходимо строго в вытяжном шкафу! 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Почему?</w:t>
            </w: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Слушают об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ъ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яснения учит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ля, записывают в тетрадь фо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мулы и назв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ния кислот, 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вечают на в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</w:tc>
      </w:tr>
      <w:tr w:rsidR="00E838E7" w:rsidRPr="00E731CD" w:rsidTr="00E731CD">
        <w:trPr>
          <w:trHeight w:val="71"/>
        </w:trPr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Этап обобщ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ния и систем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тизация новых знаний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проверить степень усвоенных знаний и выявить возмо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ность пр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белов 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альная работа</w:t>
            </w: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31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Найди группу формул кислот: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left="175" w:firstLine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NH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 xml:space="preserve">3        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HCl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H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SO</w:t>
            </w:r>
            <w:r w:rsidRPr="00E731CD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E838E7" w:rsidRPr="008216CE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left="175" w:firstLine="284"/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)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      HNO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 xml:space="preserve">3     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HBr</w:t>
            </w:r>
          </w:p>
          <w:p w:rsidR="00E838E7" w:rsidRPr="008216CE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left="175" w:firstLine="284"/>
              <w:rPr>
                <w:rFonts w:ascii="Times New Roman" w:hAnsi="Times New Roman"/>
                <w:sz w:val="24"/>
                <w:szCs w:val="24"/>
                <w:lang w:val="pt-BR"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) HCl      KCl      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PO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4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1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Выберите формулу «третьего лишнего» вещества в каждом ряду:</w:t>
            </w:r>
          </w:p>
          <w:p w:rsidR="00E838E7" w:rsidRPr="008216CE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) HCl       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 xml:space="preserve">   K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O</w:t>
            </w:r>
          </w:p>
          <w:p w:rsidR="00E838E7" w:rsidRPr="008216CE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) HNO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 xml:space="preserve">   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O      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CO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</w:p>
          <w:p w:rsidR="00E838E7" w:rsidRPr="008216CE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)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       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 xml:space="preserve">4    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NaOH</w:t>
            </w:r>
          </w:p>
          <w:p w:rsidR="00E838E7" w:rsidRPr="008216CE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</w:pPr>
            <w:r w:rsidRPr="008216CE">
              <w:rPr>
                <w:rFonts w:ascii="Times New Roman" w:hAnsi="Times New Roman"/>
                <w:b/>
                <w:bCs/>
                <w:sz w:val="24"/>
                <w:szCs w:val="24"/>
                <w:lang w:val="pt-BR" w:eastAsia="ru-RU"/>
              </w:rPr>
              <w:t xml:space="preserve">3. </w:t>
            </w:r>
            <w:r w:rsidRPr="00E731C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Даны</w:t>
            </w:r>
            <w:r w:rsidRPr="008216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 w:eastAsia="ru-RU"/>
              </w:rPr>
              <w:t xml:space="preserve"> </w:t>
            </w:r>
            <w:r w:rsidRPr="00E731C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вещества</w:t>
            </w:r>
            <w:r w:rsidRPr="008216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 w:eastAsia="ru-RU"/>
              </w:rPr>
              <w:t>:</w:t>
            </w:r>
            <w:r w:rsidRPr="008216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 w:eastAsia="ru-RU"/>
              </w:rPr>
              <w:br/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CuO, NaOH,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PO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CO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CaCO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HCl, Cu(OH)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HNO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BaO,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S, K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Al(OH)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AgNO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H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CO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NaSiO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SO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, K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lang w:val="pt-BR" w:eastAsia="ru-RU"/>
              </w:rPr>
              <w:t>SO</w:t>
            </w:r>
            <w:r w:rsidRPr="008216C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pt-BR" w:eastAsia="ru-RU"/>
              </w:rPr>
              <w:t>4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 предложенного списка выберите кислоты;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Опишите их по рассмотренным признакам;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Проверьте ответы своего соседа по парте по слайду, поставьте ему оценку. 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№1 – 1 балл, №2 - 3 балла, №3 – 6 балла.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5-7 баллов – «3»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8-9 баллов – «4»</w:t>
            </w:r>
          </w:p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10 баллов – «5»</w:t>
            </w: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но выполняют работу, осущ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ствляют пр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цесс взаим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E838E7" w:rsidRPr="00E731CD" w:rsidTr="00E731CD">
        <w:trPr>
          <w:trHeight w:val="1555"/>
        </w:trPr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Рефле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Помочь учащимся осознать результат своей де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 xml:space="preserve">лиз </w:t>
            </w: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альная работа</w:t>
            </w: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Заполните таблицу: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05"/>
              <w:gridCol w:w="5103"/>
            </w:tblGrid>
            <w:tr w:rsidR="00E838E7" w:rsidRPr="00E731CD" w:rsidTr="00E731C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 трудности этапа урока в баллах:</w:t>
                  </w:r>
                </w:p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 трудно, я не понял</w:t>
                  </w:r>
                </w:p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понял, но объяснить затрудняюсь</w:t>
                  </w:r>
                </w:p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2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понял и могу объяснить одноклассникам</w:t>
                  </w:r>
                </w:p>
              </w:tc>
            </w:tr>
            <w:tr w:rsidR="00E838E7" w:rsidRPr="00E731CD" w:rsidTr="00E731C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Опыт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8E7" w:rsidRPr="00E731CD" w:rsidTr="00E731C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Названия кислот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8E7" w:rsidRPr="00E731CD" w:rsidTr="00E731C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Классификация кислот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Осуществляют процедуру с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моанализа</w:t>
            </w:r>
          </w:p>
        </w:tc>
      </w:tr>
      <w:tr w:rsidR="00E838E7" w:rsidRPr="00E731CD" w:rsidTr="00E731CD">
        <w:trPr>
          <w:trHeight w:val="1683"/>
        </w:trPr>
        <w:tc>
          <w:tcPr>
            <w:tcW w:w="124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нее зад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31C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Проко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ментир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1CD">
              <w:rPr>
                <w:rFonts w:ascii="Times New Roman" w:hAnsi="Times New Roman"/>
                <w:sz w:val="24"/>
                <w:szCs w:val="24"/>
              </w:rPr>
              <w:t>вать Д/з</w:t>
            </w:r>
          </w:p>
        </w:tc>
        <w:tc>
          <w:tcPr>
            <w:tcW w:w="1276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1CD">
              <w:rPr>
                <w:rFonts w:ascii="Times New Roman" w:hAnsi="Times New Roman"/>
                <w:sz w:val="24"/>
                <w:szCs w:val="24"/>
              </w:rPr>
              <w:t>Дифференцированное Д/з</w:t>
            </w: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21"/>
              <w:gridCol w:w="1701"/>
              <w:gridCol w:w="1417"/>
              <w:gridCol w:w="2127"/>
            </w:tblGrid>
            <w:tr w:rsidR="00E838E7" w:rsidRPr="00E731CD" w:rsidTr="00E731C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6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Упр.  после  §20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Творческое зад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ние</w:t>
                  </w:r>
                </w:p>
              </w:tc>
            </w:tr>
            <w:tr w:rsidR="00E838E7" w:rsidRPr="00E731CD" w:rsidTr="00E731C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Сообщение: «К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слотные дожди»</w:t>
                  </w:r>
                </w:p>
              </w:tc>
            </w:tr>
            <w:tr w:rsidR="00E838E7" w:rsidRPr="00E731CD" w:rsidTr="00E731C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8E7" w:rsidRPr="00E731CD" w:rsidTr="00E731C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E731C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6*</w:t>
                  </w:r>
                  <w:r w:rsidRPr="00E731CD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,7*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E7" w:rsidRPr="00E731CD" w:rsidRDefault="00E838E7" w:rsidP="00E731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8E7" w:rsidRPr="00E731CD" w:rsidRDefault="00E838E7" w:rsidP="00E731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8E7" w:rsidRPr="00D82883" w:rsidRDefault="00E838E7" w:rsidP="00D82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38E7" w:rsidRPr="00D82883" w:rsidRDefault="00E838E7" w:rsidP="00D82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38E7" w:rsidRPr="00D82883" w:rsidSect="00C567F8">
      <w:footerReference w:type="default" r:id="rId6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E7" w:rsidRDefault="00E838E7">
      <w:pPr>
        <w:spacing w:after="0" w:line="240" w:lineRule="auto"/>
      </w:pPr>
      <w:r>
        <w:separator/>
      </w:r>
    </w:p>
  </w:endnote>
  <w:endnote w:type="continuationSeparator" w:id="0">
    <w:p w:rsidR="00E838E7" w:rsidRDefault="00E8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E7" w:rsidRDefault="00E838E7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E838E7" w:rsidRDefault="00E83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E7" w:rsidRDefault="00E838E7">
      <w:pPr>
        <w:spacing w:after="0" w:line="240" w:lineRule="auto"/>
      </w:pPr>
      <w:r>
        <w:separator/>
      </w:r>
    </w:p>
  </w:footnote>
  <w:footnote w:type="continuationSeparator" w:id="0">
    <w:p w:rsidR="00E838E7" w:rsidRDefault="00E8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4"/>
    <w:rsid w:val="000852C0"/>
    <w:rsid w:val="002C5EA4"/>
    <w:rsid w:val="004971BB"/>
    <w:rsid w:val="00717471"/>
    <w:rsid w:val="008216CE"/>
    <w:rsid w:val="009039BA"/>
    <w:rsid w:val="00935992"/>
    <w:rsid w:val="00BE0705"/>
    <w:rsid w:val="00C567F8"/>
    <w:rsid w:val="00D82883"/>
    <w:rsid w:val="00E731CD"/>
    <w:rsid w:val="00E838E7"/>
    <w:rsid w:val="00F7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28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883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1323</Words>
  <Characters>7542</Characters>
  <Application>Microsoft Office Outlook</Application>
  <DocSecurity>0</DocSecurity>
  <Lines>0</Lines>
  <Paragraphs>0</Paragraphs>
  <ScaleCrop>false</ScaleCrop>
  <Company>СПКУ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работы:</dc:title>
  <dc:subject/>
  <dc:creator>СПКУ ПРЕПОДАВАТЕЛЬ</dc:creator>
  <cp:keywords/>
  <dc:description/>
  <cp:lastModifiedBy>Adel</cp:lastModifiedBy>
  <cp:revision>2</cp:revision>
  <dcterms:created xsi:type="dcterms:W3CDTF">2013-05-10T10:29:00Z</dcterms:created>
  <dcterms:modified xsi:type="dcterms:W3CDTF">2013-05-10T10:29:00Z</dcterms:modified>
</cp:coreProperties>
</file>