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8" w:rsidRPr="00D45665" w:rsidRDefault="001F31F8" w:rsidP="001F31F8">
      <w:pPr>
        <w:tabs>
          <w:tab w:val="left" w:pos="2565"/>
        </w:tabs>
        <w:jc w:val="center"/>
        <w:rPr>
          <w:b/>
          <w:i/>
        </w:rPr>
      </w:pPr>
      <w:r w:rsidRPr="00D45665">
        <w:rPr>
          <w:b/>
          <w:i/>
        </w:rPr>
        <w:t>Содержание этапов работы учащихся и учителя над исследованием можно представить наглядно:</w:t>
      </w:r>
    </w:p>
    <w:tbl>
      <w:tblPr>
        <w:tblpPr w:leftFromText="180" w:rightFromText="180" w:vertAnchor="text" w:horzAnchor="margin" w:tblpY="39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3060"/>
        <w:gridCol w:w="2160"/>
        <w:gridCol w:w="2340"/>
      </w:tblGrid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>№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 xml:space="preserve">Этапы </w:t>
            </w:r>
          </w:p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 xml:space="preserve">работы </w:t>
            </w:r>
          </w:p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 xml:space="preserve">над </w:t>
            </w:r>
          </w:p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>исследованием</w:t>
            </w:r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>Содержание работы на данном этапе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>Деятельность учащихся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  <w:rPr>
                <w:b/>
              </w:rPr>
            </w:pPr>
            <w:r w:rsidRPr="00D45665">
              <w:rPr>
                <w:b/>
              </w:rPr>
              <w:t>Деятельность учителя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>1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proofErr w:type="spellStart"/>
            <w:proofErr w:type="gramStart"/>
            <w:r w:rsidRPr="00D45665">
              <w:t>Подготови-тельный</w:t>
            </w:r>
            <w:proofErr w:type="spellEnd"/>
            <w:proofErr w:type="gramEnd"/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Определение темы и целей исследования, определение времени работы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Обсуждают предмет исследования с учителем и получают при необходимости дополнительную информацию.</w:t>
            </w:r>
          </w:p>
          <w:p w:rsidR="001F31F8" w:rsidRPr="00D45665" w:rsidRDefault="001F31F8" w:rsidP="004824E3">
            <w:pPr>
              <w:tabs>
                <w:tab w:val="left" w:pos="2565"/>
              </w:tabs>
              <w:rPr>
                <w:b/>
                <w:u w:val="single"/>
              </w:rPr>
            </w:pPr>
            <w:r w:rsidRPr="00D45665">
              <w:t>Устанавливают цели.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Знакомит со смыслом исследовательского подхода и мотивирует учащихся. Помогает в постановке целей исследования. Наблюдает за деятельностью учащихся.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>2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proofErr w:type="spellStart"/>
            <w:proofErr w:type="gramStart"/>
            <w:r w:rsidRPr="00D45665">
              <w:t>Планирова-ние</w:t>
            </w:r>
            <w:proofErr w:type="spellEnd"/>
            <w:proofErr w:type="gramEnd"/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  <w:rPr>
                <w:u w:val="single"/>
              </w:rPr>
            </w:pPr>
            <w:r w:rsidRPr="00D45665">
              <w:t>Определение источников информации. Определение способов сбора и анализа информации. Определение способа представления результатов (формы исследования). Распределение задач (обязанностей) между членами команды при групповом исследовании.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  <w:rPr>
                <w:u w:val="single"/>
              </w:rPr>
            </w:pPr>
            <w:r w:rsidRPr="00D45665">
              <w:t>Определяют структуру исследовательской работы: вырабатывают план действий, выбирают и обосновывают свои критерии и показатели успеха</w:t>
            </w:r>
            <w:r w:rsidRPr="00D45665">
              <w:rPr>
                <w:u w:val="single"/>
              </w:rPr>
              <w:t xml:space="preserve"> </w:t>
            </w:r>
            <w:r w:rsidRPr="00D45665">
              <w:t>исследовательской деятельности.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Предлагает идеи, высказывает предположения. Наблюдает за деятельностью учащихся.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>3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proofErr w:type="spellStart"/>
            <w:proofErr w:type="gramStart"/>
            <w:r w:rsidRPr="00D45665">
              <w:t>Исследова-ние</w:t>
            </w:r>
            <w:proofErr w:type="spellEnd"/>
            <w:proofErr w:type="gramEnd"/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Сбор и уточнение информации, решение промежуточных задач. Обсуждение альтернатив методом «мозгового штурма». Выбор оптимального варианта. Основные инструменты: интервью, опросы, наблюдение, эксперименты и т.п.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Выполняют исследование, решая промежуточные задачи.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Наблюдает, советует, косвенно руководит деятельностью учащихся.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>4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proofErr w:type="spellStart"/>
            <w:proofErr w:type="gramStart"/>
            <w:r w:rsidRPr="00D45665">
              <w:t>Формулиро-вание</w:t>
            </w:r>
            <w:proofErr w:type="spellEnd"/>
            <w:proofErr w:type="gramEnd"/>
            <w:r w:rsidRPr="00D45665">
              <w:t xml:space="preserve"> результатов и/или выводов</w:t>
            </w:r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Анализ информации. Формулирование выводов.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Выполняют исследование, анализируют информацию. Оформляют работу.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Консультирует учащихся.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>5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 xml:space="preserve">Защита </w:t>
            </w:r>
            <w:proofErr w:type="spellStart"/>
            <w:proofErr w:type="gramStart"/>
            <w:r w:rsidRPr="00D45665">
              <w:t>исследова-ния</w:t>
            </w:r>
            <w:proofErr w:type="spellEnd"/>
            <w:proofErr w:type="gramEnd"/>
            <w:r w:rsidRPr="00D45665">
              <w:t>.</w:t>
            </w:r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 xml:space="preserve">Подготовка доклада: обоснование процесса исследования, представление полученных </w:t>
            </w:r>
            <w:r w:rsidRPr="00D45665">
              <w:lastRenderedPageBreak/>
              <w:t>результатов.</w:t>
            </w:r>
          </w:p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Возможные формы отчёта: устный отчёт с демонстрацией материала, письменный отчёт.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lastRenderedPageBreak/>
              <w:t xml:space="preserve">Участвуют в коллективном самоанализе и самооценке </w:t>
            </w:r>
            <w:r w:rsidRPr="00D45665">
              <w:lastRenderedPageBreak/>
              <w:t>деятельности.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lastRenderedPageBreak/>
              <w:t xml:space="preserve">Слушает, задаёт целесообразные вопросы в роли рядового участника. </w:t>
            </w:r>
            <w:r w:rsidRPr="00D45665">
              <w:lastRenderedPageBreak/>
              <w:t xml:space="preserve">При необходимости направляет процесс анализа. </w:t>
            </w:r>
          </w:p>
        </w:tc>
      </w:tr>
      <w:tr w:rsidR="001F31F8" w:rsidRPr="00D45665" w:rsidTr="004824E3">
        <w:tc>
          <w:tcPr>
            <w:tcW w:w="468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lastRenderedPageBreak/>
              <w:t>6</w:t>
            </w:r>
          </w:p>
        </w:tc>
        <w:tc>
          <w:tcPr>
            <w:tcW w:w="1800" w:type="dxa"/>
          </w:tcPr>
          <w:p w:rsidR="001F31F8" w:rsidRPr="00D45665" w:rsidRDefault="001F31F8" w:rsidP="004824E3">
            <w:pPr>
              <w:tabs>
                <w:tab w:val="left" w:pos="2565"/>
              </w:tabs>
              <w:jc w:val="center"/>
            </w:pPr>
            <w:r w:rsidRPr="00D45665">
              <w:t xml:space="preserve">Оценка результатов и процесса </w:t>
            </w:r>
            <w:proofErr w:type="gramStart"/>
            <w:r w:rsidRPr="00D45665">
              <w:t>исследовательской</w:t>
            </w:r>
            <w:proofErr w:type="gramEnd"/>
            <w:r w:rsidRPr="00D45665">
              <w:t xml:space="preserve"> </w:t>
            </w:r>
            <w:proofErr w:type="spellStart"/>
            <w:r w:rsidRPr="00D45665">
              <w:t>деятельнос-ти</w:t>
            </w:r>
            <w:proofErr w:type="spellEnd"/>
          </w:p>
        </w:tc>
        <w:tc>
          <w:tcPr>
            <w:tcW w:w="30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Анализ выполнения исследования, достигнутых результатов (успехов и неудач) и их причин.</w:t>
            </w:r>
          </w:p>
        </w:tc>
        <w:tc>
          <w:tcPr>
            <w:tcW w:w="216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>Участвуют в оценке путём коллективного обсуждения и самооценок деятельности.</w:t>
            </w:r>
          </w:p>
        </w:tc>
        <w:tc>
          <w:tcPr>
            <w:tcW w:w="2340" w:type="dxa"/>
          </w:tcPr>
          <w:p w:rsidR="001F31F8" w:rsidRPr="00D45665" w:rsidRDefault="001F31F8" w:rsidP="004824E3">
            <w:pPr>
              <w:tabs>
                <w:tab w:val="left" w:pos="2565"/>
              </w:tabs>
            </w:pPr>
            <w:r w:rsidRPr="00D45665">
              <w:t xml:space="preserve">Оценивает усилия учащихся, их </w:t>
            </w:r>
            <w:proofErr w:type="spellStart"/>
            <w:r w:rsidRPr="00D45665">
              <w:t>креативность</w:t>
            </w:r>
            <w:proofErr w:type="spellEnd"/>
            <w:r w:rsidRPr="00D45665">
              <w:t>, качество использования источников. Определяет потенциал продолжения исследовательской работы.</w:t>
            </w:r>
          </w:p>
        </w:tc>
      </w:tr>
    </w:tbl>
    <w:p w:rsidR="00F76332" w:rsidRPr="00D45665" w:rsidRDefault="00F76332"/>
    <w:sectPr w:rsidR="00F76332" w:rsidRPr="00D45665" w:rsidSect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1F8"/>
    <w:rsid w:val="001F31F8"/>
    <w:rsid w:val="004509C0"/>
    <w:rsid w:val="00D45665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Семья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2012-01-22T09:07:00Z</dcterms:created>
  <dcterms:modified xsi:type="dcterms:W3CDTF">2012-01-22T09:45:00Z</dcterms:modified>
</cp:coreProperties>
</file>