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FE" w:rsidRPr="00052DFE" w:rsidRDefault="00052DFE" w:rsidP="00052DFE">
      <w:pPr>
        <w:spacing w:after="0"/>
        <w:jc w:val="center"/>
        <w:rPr>
          <w:rFonts w:ascii="Times New Roman" w:hAnsi="Times New Roman"/>
          <w:sz w:val="28"/>
          <w:szCs w:val="28"/>
        </w:rPr>
      </w:pPr>
      <w:r w:rsidRPr="00052DFE">
        <w:rPr>
          <w:rFonts w:ascii="Times New Roman" w:hAnsi="Times New Roman"/>
          <w:sz w:val="28"/>
          <w:szCs w:val="28"/>
        </w:rPr>
        <w:t>ПРИЛОЖЕНИЕ №2</w:t>
      </w:r>
    </w:p>
    <w:p w:rsidR="00052DFE" w:rsidRDefault="00052DFE" w:rsidP="00052DFE">
      <w:pPr>
        <w:spacing w:after="0"/>
        <w:jc w:val="center"/>
        <w:rPr>
          <w:rFonts w:ascii="Times New Roman" w:hAnsi="Times New Roman"/>
          <w:b/>
          <w:sz w:val="28"/>
          <w:szCs w:val="28"/>
        </w:rPr>
      </w:pPr>
      <w:r w:rsidRPr="000B60EC">
        <w:rPr>
          <w:rFonts w:ascii="Times New Roman" w:hAnsi="Times New Roman"/>
          <w:b/>
          <w:sz w:val="28"/>
          <w:szCs w:val="28"/>
        </w:rPr>
        <w:t>Методическое обеспечение</w:t>
      </w:r>
    </w:p>
    <w:p w:rsidR="00052DFE" w:rsidRPr="00DB2914" w:rsidRDefault="00052DFE" w:rsidP="00052DFE">
      <w:pPr>
        <w:spacing w:after="0"/>
        <w:jc w:val="center"/>
        <w:rPr>
          <w:b/>
          <w:sz w:val="28"/>
          <w:szCs w:val="28"/>
        </w:rPr>
      </w:pPr>
      <w:r w:rsidRPr="000B60EC">
        <w:rPr>
          <w:rFonts w:ascii="Times New Roman" w:hAnsi="Times New Roman"/>
          <w:b/>
          <w:sz w:val="28"/>
          <w:szCs w:val="28"/>
        </w:rPr>
        <w:t>программы дополнительного образования детей</w:t>
      </w:r>
    </w:p>
    <w:p w:rsidR="00052DFE" w:rsidRPr="00B60C45" w:rsidRDefault="00052DFE" w:rsidP="00052DFE">
      <w:pPr>
        <w:rPr>
          <w:rFonts w:ascii="Times New Roman" w:hAnsi="Times New Roman"/>
          <w:b/>
        </w:rPr>
      </w:pPr>
      <w:r w:rsidRPr="00B60C45">
        <w:rPr>
          <w:rFonts w:ascii="Times New Roman" w:hAnsi="Times New Roman"/>
          <w:b/>
        </w:rPr>
        <w:t>Обеспечение программы методическими видами продукции</w:t>
      </w:r>
    </w:p>
    <w:p w:rsidR="00052DFE" w:rsidRPr="00052DFE" w:rsidRDefault="00052DFE" w:rsidP="00052DFE">
      <w:pPr>
        <w:pStyle w:val="a3"/>
        <w:jc w:val="both"/>
        <w:rPr>
          <w:rFonts w:ascii="Times New Roman" w:hAnsi="Times New Roman"/>
          <w:b/>
          <w:sz w:val="24"/>
          <w:szCs w:val="24"/>
        </w:rPr>
      </w:pPr>
      <w:r w:rsidRPr="00052DFE">
        <w:rPr>
          <w:rFonts w:ascii="Times New Roman" w:hAnsi="Times New Roman"/>
          <w:b/>
          <w:sz w:val="24"/>
          <w:szCs w:val="24"/>
        </w:rPr>
        <w:t>Рекомендации по реализации программы:</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В зависимости от содержания и темы, занятия могут проводиться в учебной аудитории, спортзале, во дворе школы или на местности (учебном полигоне).  Большая часть занятий по общей туристской подготовке проводится во время походов. При проведении одного занятия могут изучаться темы нескольких разделов. Это необходимо для выявления взаимосвязей между объектами природы и человеческой  деятельностью, а так же проведения  походов по  комплексному изучению и исследованию природных объектов.</w:t>
      </w:r>
    </w:p>
    <w:p w:rsidR="00052DFE" w:rsidRPr="00052DFE" w:rsidRDefault="00052DFE" w:rsidP="00052DFE">
      <w:pPr>
        <w:pStyle w:val="a3"/>
        <w:jc w:val="both"/>
        <w:rPr>
          <w:b/>
          <w:sz w:val="24"/>
          <w:szCs w:val="24"/>
        </w:rPr>
      </w:pPr>
    </w:p>
    <w:p w:rsidR="00052DFE" w:rsidRPr="00052DFE" w:rsidRDefault="00052DFE" w:rsidP="00052DFE">
      <w:pPr>
        <w:spacing w:after="0"/>
        <w:jc w:val="both"/>
        <w:rPr>
          <w:rFonts w:ascii="Times New Roman" w:hAnsi="Times New Roman"/>
          <w:sz w:val="24"/>
          <w:szCs w:val="24"/>
        </w:rPr>
      </w:pPr>
      <w:r w:rsidRPr="00052DFE">
        <w:rPr>
          <w:rFonts w:ascii="Times New Roman" w:hAnsi="Times New Roman"/>
          <w:b/>
          <w:sz w:val="24"/>
          <w:szCs w:val="24"/>
        </w:rPr>
        <w:t>Дидактический материал представлен:</w:t>
      </w:r>
    </w:p>
    <w:p w:rsidR="00052DFE" w:rsidRPr="00052DFE" w:rsidRDefault="00052DFE" w:rsidP="00052DFE">
      <w:pPr>
        <w:pStyle w:val="a3"/>
        <w:jc w:val="both"/>
        <w:rPr>
          <w:rFonts w:ascii="Times New Roman" w:hAnsi="Times New Roman"/>
          <w:b/>
          <w:sz w:val="24"/>
          <w:szCs w:val="24"/>
        </w:rPr>
      </w:pPr>
      <w:r w:rsidRPr="00052DFE">
        <w:rPr>
          <w:rFonts w:ascii="Times New Roman" w:hAnsi="Times New Roman"/>
          <w:b/>
          <w:sz w:val="24"/>
          <w:szCs w:val="24"/>
        </w:rPr>
        <w:t>Печатные пособия:</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Карты местности для ориентирования – 15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Схемы вязки узлов – 10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Отчёты о походах – 3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Условные знаки к картам спортивного ориентирования - 10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xml:space="preserve">- Карта </w:t>
      </w:r>
      <w:proofErr w:type="spellStart"/>
      <w:r w:rsidRPr="00052DFE">
        <w:rPr>
          <w:rFonts w:ascii="Times New Roman" w:hAnsi="Times New Roman"/>
          <w:sz w:val="24"/>
          <w:szCs w:val="24"/>
        </w:rPr>
        <w:t>Чудовского</w:t>
      </w:r>
      <w:proofErr w:type="spellEnd"/>
      <w:r w:rsidRPr="00052DFE">
        <w:rPr>
          <w:rFonts w:ascii="Times New Roman" w:hAnsi="Times New Roman"/>
          <w:sz w:val="24"/>
          <w:szCs w:val="24"/>
        </w:rPr>
        <w:t xml:space="preserve"> района – 1шт.</w:t>
      </w:r>
    </w:p>
    <w:p w:rsidR="00052DFE" w:rsidRPr="00052DFE" w:rsidRDefault="00052DFE" w:rsidP="00052DFE">
      <w:pPr>
        <w:spacing w:after="0"/>
        <w:jc w:val="both"/>
        <w:rPr>
          <w:rFonts w:ascii="Times New Roman" w:hAnsi="Times New Roman"/>
          <w:b/>
          <w:sz w:val="24"/>
          <w:szCs w:val="24"/>
        </w:rPr>
      </w:pPr>
      <w:r w:rsidRPr="00052DFE">
        <w:rPr>
          <w:rFonts w:ascii="Times New Roman" w:hAnsi="Times New Roman"/>
          <w:sz w:val="24"/>
          <w:szCs w:val="24"/>
        </w:rPr>
        <w:t>- Карта Новгородской области – 1шт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b/>
          <w:sz w:val="24"/>
          <w:szCs w:val="24"/>
        </w:rPr>
        <w:t>Экранно-звуковые пособия:</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xml:space="preserve"> - Видеофильм. «Поход выходного дня». – 1шт. </w:t>
      </w:r>
    </w:p>
    <w:p w:rsidR="00052DFE" w:rsidRPr="00052DFE" w:rsidRDefault="00052DFE" w:rsidP="00052DFE">
      <w:pPr>
        <w:pStyle w:val="a3"/>
        <w:jc w:val="both"/>
        <w:rPr>
          <w:rFonts w:ascii="Times New Roman" w:hAnsi="Times New Roman"/>
          <w:sz w:val="24"/>
          <w:szCs w:val="24"/>
        </w:rPr>
      </w:pPr>
    </w:p>
    <w:p w:rsidR="00052DFE" w:rsidRPr="00052DFE" w:rsidRDefault="00052DFE" w:rsidP="00052DFE">
      <w:pPr>
        <w:spacing w:after="0"/>
        <w:rPr>
          <w:rFonts w:ascii="Times New Roman" w:hAnsi="Times New Roman"/>
          <w:b/>
          <w:sz w:val="24"/>
          <w:szCs w:val="24"/>
        </w:rPr>
      </w:pPr>
      <w:r w:rsidRPr="00052DFE">
        <w:rPr>
          <w:rFonts w:ascii="Times New Roman" w:hAnsi="Times New Roman"/>
          <w:b/>
          <w:sz w:val="24"/>
          <w:szCs w:val="24"/>
        </w:rPr>
        <w:t>Лекционный  материал представлен:</w:t>
      </w:r>
    </w:p>
    <w:p w:rsidR="00052DFE" w:rsidRPr="00052DFE" w:rsidRDefault="00052DFE" w:rsidP="00052DFE">
      <w:pPr>
        <w:spacing w:after="0" w:line="240" w:lineRule="auto"/>
        <w:jc w:val="both"/>
        <w:rPr>
          <w:rFonts w:ascii="Times New Roman" w:hAnsi="Times New Roman"/>
          <w:sz w:val="24"/>
          <w:szCs w:val="24"/>
        </w:rPr>
      </w:pPr>
      <w:r w:rsidRPr="00052DFE">
        <w:rPr>
          <w:rFonts w:ascii="Times New Roman" w:hAnsi="Times New Roman"/>
          <w:sz w:val="24"/>
          <w:szCs w:val="24"/>
        </w:rPr>
        <w:t xml:space="preserve">- Беседа по технике безопасности. Памятка туристу. </w:t>
      </w:r>
    </w:p>
    <w:p w:rsidR="00052DFE" w:rsidRPr="00052DFE" w:rsidRDefault="00052DFE" w:rsidP="00052DFE">
      <w:pPr>
        <w:spacing w:after="0" w:line="240" w:lineRule="auto"/>
        <w:jc w:val="both"/>
        <w:rPr>
          <w:rFonts w:ascii="Times New Roman" w:hAnsi="Times New Roman"/>
          <w:sz w:val="24"/>
          <w:szCs w:val="24"/>
        </w:rPr>
      </w:pPr>
      <w:r w:rsidRPr="00052DFE">
        <w:rPr>
          <w:rFonts w:ascii="Times New Roman" w:hAnsi="Times New Roman"/>
          <w:sz w:val="24"/>
          <w:szCs w:val="24"/>
        </w:rPr>
        <w:t xml:space="preserve">- Беседа по охране природы </w:t>
      </w:r>
      <w:proofErr w:type="spellStart"/>
      <w:r w:rsidRPr="00052DFE">
        <w:rPr>
          <w:rFonts w:ascii="Times New Roman" w:hAnsi="Times New Roman"/>
          <w:sz w:val="24"/>
          <w:szCs w:val="24"/>
        </w:rPr>
        <w:t>Чудовского</w:t>
      </w:r>
      <w:proofErr w:type="spellEnd"/>
      <w:r w:rsidRPr="00052DFE">
        <w:rPr>
          <w:rFonts w:ascii="Times New Roman" w:hAnsi="Times New Roman"/>
          <w:sz w:val="24"/>
          <w:szCs w:val="24"/>
        </w:rPr>
        <w:t xml:space="preserve"> района. Правила поведения в природе. </w:t>
      </w:r>
    </w:p>
    <w:p w:rsidR="00052DFE" w:rsidRPr="00052DFE" w:rsidRDefault="00052DFE" w:rsidP="00052DFE">
      <w:pPr>
        <w:spacing w:after="0" w:line="240" w:lineRule="auto"/>
        <w:jc w:val="both"/>
        <w:rPr>
          <w:rFonts w:ascii="Times New Roman" w:hAnsi="Times New Roman"/>
          <w:sz w:val="24"/>
          <w:szCs w:val="24"/>
        </w:rPr>
      </w:pPr>
      <w:r w:rsidRPr="00052DFE">
        <w:rPr>
          <w:rFonts w:ascii="Times New Roman" w:hAnsi="Times New Roman"/>
          <w:sz w:val="24"/>
          <w:szCs w:val="24"/>
        </w:rPr>
        <w:t>- Беседа об особенностях проведения исследовательских работ на местности.</w:t>
      </w:r>
    </w:p>
    <w:p w:rsidR="00052DFE" w:rsidRPr="00052DFE" w:rsidRDefault="00052DFE" w:rsidP="00052DFE">
      <w:pPr>
        <w:spacing w:after="0" w:line="240" w:lineRule="auto"/>
        <w:jc w:val="both"/>
        <w:rPr>
          <w:rFonts w:ascii="Times New Roman" w:hAnsi="Times New Roman"/>
          <w:sz w:val="24"/>
          <w:szCs w:val="24"/>
        </w:rPr>
      </w:pPr>
      <w:r w:rsidRPr="00052DFE">
        <w:rPr>
          <w:rFonts w:ascii="Times New Roman" w:hAnsi="Times New Roman"/>
          <w:sz w:val="24"/>
          <w:szCs w:val="24"/>
        </w:rPr>
        <w:t>- Беседа по ознакомлению с нормативными документами по туризму</w:t>
      </w:r>
    </w:p>
    <w:p w:rsidR="00052DFE" w:rsidRPr="00052DFE" w:rsidRDefault="00052DFE" w:rsidP="00052DFE">
      <w:pPr>
        <w:spacing w:after="0" w:line="240" w:lineRule="auto"/>
        <w:jc w:val="both"/>
        <w:rPr>
          <w:rFonts w:ascii="Times New Roman" w:hAnsi="Times New Roman"/>
          <w:sz w:val="24"/>
          <w:szCs w:val="24"/>
        </w:rPr>
      </w:pPr>
    </w:p>
    <w:p w:rsidR="00052DFE" w:rsidRPr="00052DFE" w:rsidRDefault="00052DFE" w:rsidP="00052DFE">
      <w:pPr>
        <w:spacing w:after="0"/>
        <w:rPr>
          <w:rFonts w:ascii="Times New Roman" w:hAnsi="Times New Roman"/>
          <w:b/>
          <w:sz w:val="24"/>
          <w:szCs w:val="24"/>
        </w:rPr>
      </w:pPr>
      <w:r w:rsidRPr="00052DFE">
        <w:rPr>
          <w:rFonts w:ascii="Times New Roman" w:hAnsi="Times New Roman"/>
          <w:b/>
          <w:sz w:val="24"/>
          <w:szCs w:val="24"/>
        </w:rPr>
        <w:t>Материально-техническое оснащение занятий:</w:t>
      </w:r>
    </w:p>
    <w:p w:rsidR="00052DFE" w:rsidRPr="00052DFE" w:rsidRDefault="00052DFE" w:rsidP="00052DFE">
      <w:pPr>
        <w:spacing w:after="0"/>
        <w:rPr>
          <w:rFonts w:ascii="Times New Roman" w:hAnsi="Times New Roman"/>
          <w:b/>
          <w:sz w:val="24"/>
          <w:szCs w:val="24"/>
        </w:rPr>
      </w:pPr>
      <w:r w:rsidRPr="00052DFE">
        <w:rPr>
          <w:rFonts w:ascii="Times New Roman" w:hAnsi="Times New Roman"/>
          <w:b/>
          <w:sz w:val="24"/>
          <w:szCs w:val="24"/>
        </w:rPr>
        <w:t>Кабинет для обучения и учебно-практическое оборудование:</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Аудиторная доска с магнитной поверхностью – 2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Столы ученические – 15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Стулья – 30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Шкаф для хранения методического и дидактического материала – 1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Блокноты, ручки, карандаши -  (на каждого обучающегося).</w:t>
      </w:r>
    </w:p>
    <w:p w:rsidR="00052DFE" w:rsidRPr="00052DFE" w:rsidRDefault="00052DFE" w:rsidP="00052DFE">
      <w:pPr>
        <w:pStyle w:val="a3"/>
        <w:jc w:val="both"/>
        <w:rPr>
          <w:rFonts w:ascii="Times New Roman" w:hAnsi="Times New Roman"/>
          <w:b/>
          <w:sz w:val="24"/>
          <w:szCs w:val="24"/>
        </w:rPr>
      </w:pPr>
      <w:r w:rsidRPr="00052DFE">
        <w:rPr>
          <w:rFonts w:ascii="Times New Roman" w:hAnsi="Times New Roman"/>
          <w:b/>
          <w:sz w:val="24"/>
          <w:szCs w:val="24"/>
        </w:rPr>
        <w:t>Туристическое снаряжение:</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xml:space="preserve"> - Компасы – 15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Верёвка «основная» (10м) – 2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xml:space="preserve">- Верёвка «вспомогательная» (30м) – 1шт. </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Репшнуры – 12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Системы обвязки – 6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Карабины - 12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Коврик туристический – 20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Палатка с тентом дуговая – 4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Палатка без тента – 1шт.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Топор – 1шт.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Лопата – 1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Котлы  - 3шт.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Крючки к котлам – 3 шт.</w:t>
      </w:r>
    </w:p>
    <w:p w:rsidR="00052DFE" w:rsidRPr="00052DFE" w:rsidRDefault="00052DFE" w:rsidP="00052DFE">
      <w:pPr>
        <w:pStyle w:val="a3"/>
        <w:jc w:val="both"/>
        <w:rPr>
          <w:rFonts w:ascii="Times New Roman" w:hAnsi="Times New Roman"/>
          <w:sz w:val="24"/>
          <w:szCs w:val="24"/>
        </w:rPr>
      </w:pPr>
      <w:r w:rsidRPr="00052DFE">
        <w:rPr>
          <w:rFonts w:ascii="Times New Roman" w:hAnsi="Times New Roman"/>
          <w:sz w:val="24"/>
          <w:szCs w:val="24"/>
        </w:rPr>
        <w:t xml:space="preserve">- Аптечка – 1 комплект в соответствии с требованиями. </w:t>
      </w:r>
    </w:p>
    <w:p w:rsidR="00185B83" w:rsidRPr="00052DFE" w:rsidRDefault="00052DFE" w:rsidP="00052DFE">
      <w:pPr>
        <w:pStyle w:val="a3"/>
        <w:jc w:val="both"/>
        <w:rPr>
          <w:sz w:val="24"/>
          <w:szCs w:val="24"/>
        </w:rPr>
      </w:pPr>
      <w:r w:rsidRPr="00052DFE">
        <w:rPr>
          <w:rFonts w:ascii="Times New Roman" w:hAnsi="Times New Roman"/>
          <w:sz w:val="24"/>
          <w:szCs w:val="24"/>
        </w:rPr>
        <w:t>- Фотоаппарат – 1 шт.</w:t>
      </w:r>
      <w:bookmarkStart w:id="0" w:name="_GoBack"/>
      <w:bookmarkEnd w:id="0"/>
    </w:p>
    <w:sectPr w:rsidR="00185B83" w:rsidRPr="00052DFE" w:rsidSect="00052DFE">
      <w:pgSz w:w="11906" w:h="16838"/>
      <w:pgMar w:top="907" w:right="851" w:bottom="851"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5D"/>
    <w:rsid w:val="00052DFE"/>
    <w:rsid w:val="00185B83"/>
    <w:rsid w:val="00B0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F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DF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F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D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2012-01-27T10:23:00Z</dcterms:created>
  <dcterms:modified xsi:type="dcterms:W3CDTF">2012-01-27T10:28:00Z</dcterms:modified>
</cp:coreProperties>
</file>