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E0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  <w:r w:rsidRPr="00057439">
        <w:rPr>
          <w:rFonts w:ascii="Times New Roman" w:hAnsi="Times New Roman" w:cs="Times New Roman"/>
          <w:color w:val="17365D" w:themeColor="text2" w:themeShade="BF"/>
          <w:sz w:val="144"/>
          <w:szCs w:val="144"/>
        </w:rPr>
        <w:t>Формулы  и  правила дифференцирования</w:t>
      </w: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  <w:r w:rsidRPr="00057439">
        <w:rPr>
          <w:rFonts w:ascii="Times New Roman" w:hAnsi="Times New Roman" w:cs="Times New Roman"/>
          <w:color w:val="17365D" w:themeColor="text2" w:themeShade="BF"/>
          <w:sz w:val="144"/>
          <w:szCs w:val="144"/>
        </w:rPr>
        <w:t>Физический   смысл производной</w:t>
      </w: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  <w:r w:rsidRPr="00057439">
        <w:rPr>
          <w:rFonts w:ascii="Times New Roman" w:hAnsi="Times New Roman" w:cs="Times New Roman"/>
          <w:color w:val="17365D" w:themeColor="text2" w:themeShade="BF"/>
          <w:sz w:val="144"/>
          <w:szCs w:val="144"/>
        </w:rPr>
        <w:lastRenderedPageBreak/>
        <w:t>Геометрический  смысл</w:t>
      </w: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  <w:r w:rsidRPr="00057439">
        <w:rPr>
          <w:rFonts w:ascii="Times New Roman" w:hAnsi="Times New Roman" w:cs="Times New Roman"/>
          <w:color w:val="17365D" w:themeColor="text2" w:themeShade="BF"/>
          <w:sz w:val="144"/>
          <w:szCs w:val="144"/>
        </w:rPr>
        <w:t>производной</w:t>
      </w: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</w:p>
    <w:p w:rsidR="00057439" w:rsidRPr="00057439" w:rsidRDefault="00057439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144"/>
          <w:szCs w:val="144"/>
        </w:rPr>
        <w:sectPr w:rsidR="00057439" w:rsidRPr="00057439" w:rsidSect="0005743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lastRenderedPageBreak/>
        <w:t xml:space="preserve">200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300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500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lastRenderedPageBreak/>
        <w:t xml:space="preserve">200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300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500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lastRenderedPageBreak/>
        <w:t xml:space="preserve">200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300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p w:rsidR="00057439" w:rsidRPr="00057439" w:rsidRDefault="00057439" w:rsidP="00057439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500 </w:t>
      </w:r>
      <w:proofErr w:type="spellStart"/>
      <w:r w:rsidRPr="00057439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руб</w:t>
      </w:r>
      <w:proofErr w:type="spellEnd"/>
    </w:p>
    <w:sectPr w:rsidR="00057439" w:rsidRPr="00057439" w:rsidSect="00057439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39"/>
    <w:rsid w:val="00057439"/>
    <w:rsid w:val="008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2011-04-14T04:07:00Z</cp:lastPrinted>
  <dcterms:created xsi:type="dcterms:W3CDTF">2011-04-14T04:01:00Z</dcterms:created>
  <dcterms:modified xsi:type="dcterms:W3CDTF">2011-04-14T04:08:00Z</dcterms:modified>
</cp:coreProperties>
</file>