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B" w:rsidRPr="008B65F5" w:rsidRDefault="00BF592B" w:rsidP="00BF592B">
      <w:pPr>
        <w:ind w:firstLine="360"/>
        <w:jc w:val="right"/>
      </w:pPr>
      <w:r>
        <w:t>Приложение 1</w:t>
      </w:r>
    </w:p>
    <w:p w:rsidR="00BF592B" w:rsidRPr="00AB5D64" w:rsidRDefault="00BF592B" w:rsidP="00BF592B">
      <w:pPr>
        <w:ind w:firstLine="360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inline distT="0" distB="0" distL="0" distR="0">
            <wp:extent cx="4863645" cy="1812892"/>
            <wp:effectExtent l="9640" t="6383" r="351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592B" w:rsidRPr="00AB5D64" w:rsidRDefault="00BF592B" w:rsidP="00BF592B">
      <w:pPr>
        <w:ind w:firstLine="360"/>
        <w:jc w:val="both"/>
        <w:rPr>
          <w:color w:val="333333"/>
        </w:rPr>
      </w:pPr>
      <w:r w:rsidRPr="00AB5D64">
        <w:rPr>
          <w:color w:val="333333"/>
        </w:rPr>
        <w:t xml:space="preserve">В коммуникативную сферу положено оценка личностного поведения детей в различных видах деятельности совместно </w:t>
      </w:r>
      <w:proofErr w:type="gramStart"/>
      <w:r w:rsidRPr="00AB5D64">
        <w:rPr>
          <w:color w:val="333333"/>
        </w:rPr>
        <w:t>со</w:t>
      </w:r>
      <w:proofErr w:type="gramEnd"/>
      <w:r w:rsidRPr="00AB5D64">
        <w:rPr>
          <w:color w:val="333333"/>
        </w:rPr>
        <w:t xml:space="preserve"> взрослыми и сверстниками. </w:t>
      </w:r>
    </w:p>
    <w:p w:rsidR="00BF592B" w:rsidRPr="00AB5D64" w:rsidRDefault="00BF592B" w:rsidP="00BF592B">
      <w:pPr>
        <w:ind w:firstLine="360"/>
        <w:jc w:val="both"/>
        <w:rPr>
          <w:color w:val="333333"/>
        </w:rPr>
      </w:pPr>
      <w:r w:rsidRPr="00AB5D64">
        <w:rPr>
          <w:color w:val="333333"/>
        </w:rPr>
        <w:t xml:space="preserve">Как видно из графика, почти  60% детей к пятому году обучения  стали более общительными, легко вступают в контакт, доверяются своим друзьям и взрослым, ищут у них поддержку и внимание. Овладение учащимися двигательными навыками (жестами, мимикой, телодвижениями) способствует развитию доброжелательных отношений и тем самым нормализации социального контакта между детьми. </w:t>
      </w:r>
    </w:p>
    <w:p w:rsidR="00BF592B" w:rsidRPr="00AB5D64" w:rsidRDefault="00BF592B" w:rsidP="00BF592B">
      <w:pPr>
        <w:ind w:firstLine="360"/>
        <w:jc w:val="both"/>
      </w:pPr>
      <w:r w:rsidRPr="00AB5D64">
        <w:rPr>
          <w:color w:val="333333"/>
        </w:rPr>
        <w:t>Личный успех, выполнение практических заданий, решение познавательных задач воодушевляют детей, побуждая их к активному взаимодействию в коллективе.</w:t>
      </w:r>
    </w:p>
    <w:p w:rsidR="00BF592B" w:rsidRPr="00AB5D64" w:rsidRDefault="00BF592B" w:rsidP="00BF592B">
      <w:pPr>
        <w:jc w:val="center"/>
      </w:pPr>
      <w:r w:rsidRPr="00207EE7">
        <w:rPr>
          <w:i/>
          <w:color w:val="333333"/>
        </w:rPr>
        <w:t xml:space="preserve">Уровень воспитанности учащихся </w:t>
      </w:r>
      <w:r>
        <w:rPr>
          <w:noProof/>
          <w:color w:val="92D050"/>
        </w:rPr>
        <w:drawing>
          <wp:inline distT="0" distB="0" distL="0" distR="0">
            <wp:extent cx="4581525" cy="2066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B5D64">
        <w:rPr>
          <w:color w:val="92D050"/>
        </w:rPr>
        <w:t xml:space="preserve">                          </w:t>
      </w:r>
      <w:r w:rsidRPr="00AB5D64">
        <w:t xml:space="preserve">           </w:t>
      </w:r>
    </w:p>
    <w:p w:rsidR="00BF592B" w:rsidRDefault="00BF592B" w:rsidP="00BF592B">
      <w:pPr>
        <w:ind w:firstLine="360"/>
        <w:jc w:val="center"/>
      </w:pPr>
    </w:p>
    <w:p w:rsidR="00BF592B" w:rsidRDefault="00BF592B" w:rsidP="00BF592B">
      <w:pPr>
        <w:ind w:firstLine="360"/>
        <w:jc w:val="center"/>
      </w:pPr>
    </w:p>
    <w:p w:rsidR="00BF592B" w:rsidRDefault="00BF592B" w:rsidP="00BF592B">
      <w:pPr>
        <w:ind w:firstLine="360"/>
        <w:jc w:val="center"/>
      </w:pPr>
      <w:r w:rsidRPr="00AB5D64">
        <w:t xml:space="preserve">Как видно из рисунка, уровень проявления формирующихся черт характера повышается. У </w:t>
      </w:r>
    </w:p>
    <w:p w:rsidR="00BF592B" w:rsidRDefault="00BF592B" w:rsidP="00BF592B">
      <w:r w:rsidRPr="00AB5D64">
        <w:t>воспитанников развиваются позитивные качества личности:  уверенность в своих силах, доброжелательность, терпимость, умение сотрудничать. В личностном общении доверительные, эмоциональные отношения со сверстниками.</w:t>
      </w:r>
    </w:p>
    <w:p w:rsidR="00BF592B" w:rsidRPr="00AB5D64" w:rsidRDefault="00BF592B" w:rsidP="00BF592B">
      <w:pPr>
        <w:ind w:firstLine="360"/>
        <w:jc w:val="center"/>
      </w:pPr>
    </w:p>
    <w:p w:rsidR="00BF592B" w:rsidRPr="00207EE7" w:rsidRDefault="00BF592B" w:rsidP="00BF592B">
      <w:pPr>
        <w:ind w:firstLine="360"/>
        <w:jc w:val="center"/>
        <w:rPr>
          <w:i/>
        </w:rPr>
      </w:pPr>
      <w:r w:rsidRPr="00207EE7">
        <w:rPr>
          <w:i/>
        </w:rPr>
        <w:t>Мониторинг личностных особенностей развития ребёнка.</w:t>
      </w:r>
    </w:p>
    <w:p w:rsidR="00BF592B" w:rsidRPr="00AB5D64" w:rsidRDefault="00BF592B" w:rsidP="00BF592B">
      <w:pPr>
        <w:jc w:val="center"/>
      </w:pPr>
      <w:r>
        <w:rPr>
          <w:noProof/>
        </w:rPr>
        <w:drawing>
          <wp:inline distT="0" distB="0" distL="0" distR="0">
            <wp:extent cx="2209800" cy="1685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2B" w:rsidRDefault="00BF592B" w:rsidP="00BF592B">
      <w:pPr>
        <w:ind w:firstLine="360"/>
        <w:jc w:val="both"/>
      </w:pPr>
      <w:r w:rsidRPr="00AB5D64">
        <w:lastRenderedPageBreak/>
        <w:t xml:space="preserve">При поступлении в школу, в начале учебного года в результате психологического обследования была выявлены дети с высоким уровнем тревожности и агрессивным поведением. С учебной тревожностью -8%, с </w:t>
      </w:r>
      <w:proofErr w:type="spellStart"/>
      <w:r w:rsidRPr="00AB5D64">
        <w:t>самооценочной</w:t>
      </w:r>
      <w:proofErr w:type="spellEnd"/>
      <w:r w:rsidRPr="00AB5D64">
        <w:t xml:space="preserve"> тревожностью -12%, с межличностной тревожностью -4%. На пятый год обучения мы фиксируем, что уровень тревожности значительно снижен до 2 %, уровень агрессивного поведение поведения снижен до 4%.  </w:t>
      </w:r>
    </w:p>
    <w:p w:rsidR="00BF592B" w:rsidRPr="00AB5D64" w:rsidRDefault="00BF592B" w:rsidP="00BF592B">
      <w:pPr>
        <w:ind w:firstLine="360"/>
        <w:jc w:val="both"/>
      </w:pPr>
    </w:p>
    <w:p w:rsidR="00BF592B" w:rsidRPr="00207EE7" w:rsidRDefault="00BF592B" w:rsidP="00BF592B">
      <w:pPr>
        <w:ind w:firstLine="360"/>
        <w:rPr>
          <w:i/>
        </w:rPr>
      </w:pPr>
      <w:r w:rsidRPr="00AB5D64">
        <w:t xml:space="preserve">              </w:t>
      </w:r>
      <w:r w:rsidRPr="00207EE7">
        <w:rPr>
          <w:i/>
        </w:rPr>
        <w:t>Мониторинг личностных особенностей развития ребёнка.</w:t>
      </w:r>
    </w:p>
    <w:p w:rsidR="00BF592B" w:rsidRPr="00207EE7" w:rsidRDefault="00BF592B" w:rsidP="00BF592B">
      <w:pPr>
        <w:ind w:firstLine="360"/>
        <w:jc w:val="center"/>
        <w:rPr>
          <w:i/>
        </w:rPr>
      </w:pPr>
      <w:r w:rsidRPr="00207EE7">
        <w:rPr>
          <w:i/>
        </w:rPr>
        <w:t>Мотивация.</w:t>
      </w:r>
    </w:p>
    <w:p w:rsidR="00BF592B" w:rsidRPr="00AB5D64" w:rsidRDefault="00BF592B" w:rsidP="00BF592B">
      <w:pPr>
        <w:ind w:left="23" w:firstLine="360"/>
        <w:jc w:val="center"/>
      </w:pPr>
      <w:r>
        <w:rPr>
          <w:noProof/>
        </w:rPr>
        <w:drawing>
          <wp:inline distT="0" distB="0" distL="0" distR="0">
            <wp:extent cx="349567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592B" w:rsidRPr="00AB5D64" w:rsidRDefault="00BF592B" w:rsidP="00BF592B">
      <w:pPr>
        <w:ind w:firstLine="360"/>
        <w:jc w:val="both"/>
      </w:pPr>
      <w:r w:rsidRPr="00AB5D64">
        <w:t xml:space="preserve"> </w:t>
      </w:r>
      <w:proofErr w:type="gramStart"/>
      <w:r w:rsidRPr="00AB5D64">
        <w:t>При</w:t>
      </w:r>
      <w:proofErr w:type="gramEnd"/>
      <w:r w:rsidRPr="00AB5D64">
        <w:t xml:space="preserve"> </w:t>
      </w:r>
      <w:proofErr w:type="gramStart"/>
      <w:r w:rsidRPr="00AB5D64">
        <w:t>поступление</w:t>
      </w:r>
      <w:proofErr w:type="gramEnd"/>
      <w:r w:rsidRPr="00AB5D64">
        <w:t xml:space="preserve"> детей в школу была проведена методика М.Р.Гинзбурга на изучение мотивации учащихся.</w:t>
      </w:r>
    </w:p>
    <w:p w:rsidR="00BF592B" w:rsidRPr="00AB5D64" w:rsidRDefault="00BF592B" w:rsidP="00BF592B">
      <w:pPr>
        <w:ind w:firstLine="360"/>
        <w:jc w:val="both"/>
      </w:pPr>
      <w:proofErr w:type="gramStart"/>
      <w:r w:rsidRPr="00AB5D64">
        <w:t>Результаты обследования, следующие: 0%   учебные   мотивы:   собственно   учебно-познавательный мотив, восходящий к познавательной потребности (учебный); 0%  широкие социальные мотивы, основанные на понимании общественной необходимости учения (социальный); 21%  «внешние» по отношению к самой учебе мотивы, например подчинение требованиям взрослых и т.п. (внешний); 59% игровой мотив, неадекватно перенесенный в новую учебную сферу (игровой);</w:t>
      </w:r>
      <w:proofErr w:type="gramEnd"/>
      <w:r w:rsidRPr="00AB5D64">
        <w:t xml:space="preserve"> 20% мотив получения высокой отме</w:t>
      </w:r>
      <w:r w:rsidRPr="00AB5D64">
        <w:t>т</w:t>
      </w:r>
      <w:r w:rsidRPr="00AB5D64">
        <w:t>ки (отметка).</w:t>
      </w:r>
    </w:p>
    <w:p w:rsidR="00BF592B" w:rsidRPr="00AB5D64" w:rsidRDefault="00BF592B" w:rsidP="00BF592B">
      <w:pPr>
        <w:ind w:firstLine="360"/>
        <w:jc w:val="both"/>
      </w:pPr>
      <w:r w:rsidRPr="00AB5D64">
        <w:t>На пятый год обучения мы фиксируем значительные изменения. У 21% детей появился учебный интерес, 11% социальный мотив, оценочный мотив 15%, игровой мотив 46%, снижение внешнего мотива до 5 %.</w:t>
      </w:r>
    </w:p>
    <w:p w:rsidR="00BF592B" w:rsidRPr="00207EE7" w:rsidRDefault="00BF592B" w:rsidP="00BF592B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207EE7">
        <w:rPr>
          <w:rFonts w:ascii="Times New Roman" w:hAnsi="Times New Roman"/>
          <w:i/>
          <w:sz w:val="24"/>
          <w:szCs w:val="24"/>
        </w:rPr>
        <w:t>Приоритетными  направлениями в работе по данному проекту мы видим:</w:t>
      </w:r>
    </w:p>
    <w:p w:rsidR="00BF592B" w:rsidRPr="00AB5D64" w:rsidRDefault="00BF592B" w:rsidP="00BF592B">
      <w:pPr>
        <w:ind w:firstLine="709"/>
        <w:jc w:val="both"/>
      </w:pPr>
      <w:r w:rsidRPr="00AB5D64">
        <w:t>- отработка механизмов обеспечения обучения и воспитания, социальной и медико-педагогич</w:t>
      </w:r>
      <w:r w:rsidRPr="00AB5D64">
        <w:t>е</w:t>
      </w:r>
      <w:r w:rsidRPr="00AB5D64">
        <w:t>ской поддержки, трудовой  подготовки детей с умеренной умственной отсталостью;</w:t>
      </w:r>
    </w:p>
    <w:p w:rsidR="00BF592B" w:rsidRPr="00AB5D64" w:rsidRDefault="00BF592B" w:rsidP="00BF592B">
      <w:pPr>
        <w:ind w:firstLine="709"/>
        <w:jc w:val="both"/>
      </w:pPr>
      <w:r w:rsidRPr="00AB5D64">
        <w:t xml:space="preserve">- разработать </w:t>
      </w:r>
      <w:proofErr w:type="gramStart"/>
      <w:r w:rsidRPr="00AB5D64">
        <w:t>механизмы</w:t>
      </w:r>
      <w:proofErr w:type="gramEnd"/>
      <w:r w:rsidRPr="00AB5D64">
        <w:t xml:space="preserve"> по расширению профилей трудовой  подготовки учитывая  возможности детей и потребности;</w:t>
      </w:r>
    </w:p>
    <w:p w:rsidR="00BF592B" w:rsidRPr="00AB5D64" w:rsidRDefault="00BF592B" w:rsidP="00BF592B">
      <w:pPr>
        <w:ind w:firstLine="709"/>
        <w:jc w:val="both"/>
      </w:pPr>
      <w:r w:rsidRPr="00AB5D64">
        <w:t>-совершенствовать систему мер по оказанию помощи (образовательной, консультативной и др.) родителям, имеющим детей со специальными образовательными потребностями, и детей-инвалидов, нуждающи</w:t>
      </w:r>
      <w:r w:rsidRPr="00AB5D64">
        <w:t>х</w:t>
      </w:r>
      <w:r w:rsidRPr="00AB5D64">
        <w:t>ся в патронаже.</w:t>
      </w:r>
    </w:p>
    <w:p w:rsidR="00BF592B" w:rsidRPr="00AB5D64" w:rsidRDefault="00BF592B" w:rsidP="00BF592B">
      <w:pPr>
        <w:ind w:firstLine="709"/>
        <w:jc w:val="both"/>
      </w:pPr>
      <w:r w:rsidRPr="00AB5D64">
        <w:t>-совершенствовать систему мер по активному вовлечению родительской общественности в процесс коррекционного обучения и воспитания детей со спец</w:t>
      </w:r>
      <w:r w:rsidRPr="00AB5D64">
        <w:t>и</w:t>
      </w:r>
      <w:r w:rsidRPr="00AB5D64">
        <w:t>альными образовательными потребностями;</w:t>
      </w:r>
    </w:p>
    <w:p w:rsidR="00BF592B" w:rsidRPr="00AB5D64" w:rsidRDefault="00BF592B" w:rsidP="00BF592B">
      <w:pPr>
        <w:ind w:firstLine="708"/>
        <w:jc w:val="both"/>
      </w:pPr>
      <w:r w:rsidRPr="00AB5D64">
        <w:t>-организовать информационно-просветительскую деятельность по форм</w:t>
      </w:r>
      <w:r w:rsidRPr="00AB5D64">
        <w:t>и</w:t>
      </w:r>
      <w:r w:rsidRPr="00AB5D64">
        <w:t>рованию позитивного отношения общества к детям-инвалидам с умеренной умственной отсталостью;</w:t>
      </w:r>
    </w:p>
    <w:p w:rsidR="00BF592B" w:rsidRPr="00AB5D64" w:rsidRDefault="00BF592B" w:rsidP="00BF592B">
      <w:pPr>
        <w:ind w:firstLine="709"/>
        <w:jc w:val="both"/>
      </w:pPr>
      <w:r w:rsidRPr="00AB5D64">
        <w:t>-разработка, публикация и распространение учебно-методической литературы для специалистов и родителей с целью их информирования и повышения качества обучения и воспитания детей со специальными образовательными потребн</w:t>
      </w:r>
      <w:r w:rsidRPr="00AB5D64">
        <w:t>о</w:t>
      </w:r>
      <w:r w:rsidRPr="00AB5D64">
        <w:t xml:space="preserve">стями; </w:t>
      </w:r>
    </w:p>
    <w:p w:rsidR="00BF592B" w:rsidRPr="00AB5D64" w:rsidRDefault="00BF592B" w:rsidP="00BF592B">
      <w:pPr>
        <w:ind w:firstLine="709"/>
        <w:jc w:val="both"/>
        <w:rPr>
          <w:bCs/>
          <w:iCs/>
        </w:rPr>
      </w:pPr>
      <w:r w:rsidRPr="00AB5D64">
        <w:t xml:space="preserve">-подготовка и издание </w:t>
      </w:r>
      <w:proofErr w:type="gramStart"/>
      <w:r w:rsidRPr="00AB5D64">
        <w:t>сборников обобщения опыта  работы школы</w:t>
      </w:r>
      <w:proofErr w:type="gramEnd"/>
      <w:r w:rsidRPr="00AB5D64">
        <w:t xml:space="preserve"> и учителей, ре</w:t>
      </w:r>
      <w:r w:rsidRPr="00AB5D64">
        <w:t>а</w:t>
      </w:r>
      <w:r w:rsidRPr="00AB5D64">
        <w:t xml:space="preserve">лизующих программы для </w:t>
      </w:r>
      <w:r w:rsidRPr="00AB5D64">
        <w:rPr>
          <w:bCs/>
          <w:iCs/>
        </w:rPr>
        <w:t>детей с умеренной умственной отсталостью;</w:t>
      </w:r>
    </w:p>
    <w:p w:rsidR="00BF592B" w:rsidRPr="00AB5D64" w:rsidRDefault="00BF592B" w:rsidP="00BF592B">
      <w:pPr>
        <w:ind w:firstLine="709"/>
        <w:jc w:val="both"/>
      </w:pPr>
      <w:r w:rsidRPr="00AB5D64">
        <w:lastRenderedPageBreak/>
        <w:t>-обобщение опыта работы с детьми –</w:t>
      </w:r>
      <w:r>
        <w:t xml:space="preserve"> </w:t>
      </w:r>
      <w:r w:rsidRPr="00AB5D64">
        <w:t xml:space="preserve">инвалидами, </w:t>
      </w:r>
      <w:proofErr w:type="gramStart"/>
      <w:r w:rsidRPr="00AB5D64">
        <w:t>имеющих</w:t>
      </w:r>
      <w:proofErr w:type="gramEnd"/>
      <w:r w:rsidRPr="00AB5D64">
        <w:t xml:space="preserve"> умеренную умственную отсталость на региональном уровне.</w:t>
      </w:r>
    </w:p>
    <w:p w:rsidR="00BF592B" w:rsidRPr="00AB5D64" w:rsidRDefault="00BF592B" w:rsidP="00BF592B">
      <w:pPr>
        <w:ind w:firstLine="709"/>
        <w:jc w:val="both"/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B"/>
    <w:rsid w:val="00192AD3"/>
    <w:rsid w:val="003825C0"/>
    <w:rsid w:val="00541836"/>
    <w:rsid w:val="005767FC"/>
    <w:rsid w:val="0087506F"/>
    <w:rsid w:val="00972BBD"/>
    <w:rsid w:val="00A023E5"/>
    <w:rsid w:val="00AC10B9"/>
    <w:rsid w:val="00BF592B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5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5;&#1080;&#1075;&#1072;1.&#1052;&#1086;&#1085;&#1080;&#1090;&#1086;&#1088;&#1080;&#1085;&#1075;%20xlsx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Н.о. 1кл.</c:v>
                </c:pt>
              </c:strCache>
            </c:strRef>
          </c:tx>
          <c:cat>
            <c:multiLvlStrRef>
              <c:f>Лист1!$B$1:$V$2</c:f>
              <c:multiLvlStrCache>
                <c:ptCount val="21"/>
                <c:lvl>
                  <c:pt idx="0">
                    <c:v>поверхностное</c:v>
                  </c:pt>
                  <c:pt idx="1">
                    <c:v>формальное</c:v>
                  </c:pt>
                  <c:pt idx="2">
                    <c:v>целенаправленное</c:v>
                  </c:pt>
                  <c:pt idx="3">
                    <c:v>поверхностное</c:v>
                  </c:pt>
                  <c:pt idx="4">
                    <c:v>формальное</c:v>
                  </c:pt>
                  <c:pt idx="5">
                    <c:v>целенаправленное</c:v>
                  </c:pt>
                  <c:pt idx="6">
                    <c:v>отсутст. речи</c:v>
                  </c:pt>
                  <c:pt idx="7">
                    <c:v>неслов. средсв.</c:v>
                  </c:pt>
                  <c:pt idx="8">
                    <c:v>речь</c:v>
                  </c:pt>
                  <c:pt idx="9">
                    <c:v>не понимают</c:v>
                  </c:pt>
                  <c:pt idx="10">
                    <c:v>понимают после повтор.</c:v>
                  </c:pt>
                  <c:pt idx="11">
                    <c:v>понимают</c:v>
                  </c:pt>
                  <c:pt idx="12">
                    <c:v>не поним.</c:v>
                  </c:pt>
                  <c:pt idx="13">
                    <c:v>поним. после  показа</c:v>
                  </c:pt>
                  <c:pt idx="14">
                    <c:v>понимают</c:v>
                  </c:pt>
                  <c:pt idx="15">
                    <c:v>не используют</c:v>
                  </c:pt>
                  <c:pt idx="16">
                    <c:v>используют с помощью</c:v>
                  </c:pt>
                  <c:pt idx="17">
                    <c:v>используют самостоятельно</c:v>
                  </c:pt>
                  <c:pt idx="18">
                    <c:v>личностное</c:v>
                  </c:pt>
                  <c:pt idx="19">
                    <c:v>познавательное</c:v>
                  </c:pt>
                  <c:pt idx="20">
                    <c:v>деловое</c:v>
                  </c:pt>
                </c:lvl>
                <c:lvl>
                  <c:pt idx="0">
                    <c:v>Общение со сверстниками</c:v>
                  </c:pt>
                  <c:pt idx="3">
                    <c:v>Общение со взрослыми</c:v>
                  </c:pt>
                  <c:pt idx="6">
                    <c:v>Средства общения</c:v>
                  </c:pt>
                  <c:pt idx="9">
                    <c:v>Понимание обращенной речи</c:v>
                  </c:pt>
                  <c:pt idx="12">
                    <c:v>Понимание жестов и мимики</c:v>
                  </c:pt>
                  <c:pt idx="15">
                    <c:v>Использование жестов и мимики</c:v>
                  </c:pt>
                  <c:pt idx="18">
                    <c:v>Тип общения</c:v>
                  </c:pt>
                </c:lvl>
              </c:multiLvlStrCache>
            </c:multiLvlStrRef>
          </c:cat>
          <c:val>
            <c:numRef>
              <c:f>Лист1!$B$3:$V$3</c:f>
              <c:numCache>
                <c:formatCode>0%</c:formatCode>
                <c:ptCount val="21"/>
                <c:pt idx="0">
                  <c:v>0.32000000000000012</c:v>
                </c:pt>
                <c:pt idx="1">
                  <c:v>0.52</c:v>
                </c:pt>
                <c:pt idx="2">
                  <c:v>0.16</c:v>
                </c:pt>
                <c:pt idx="3">
                  <c:v>0.48000000000000009</c:v>
                </c:pt>
                <c:pt idx="4">
                  <c:v>0.52</c:v>
                </c:pt>
                <c:pt idx="5">
                  <c:v>0</c:v>
                </c:pt>
                <c:pt idx="6">
                  <c:v>0</c:v>
                </c:pt>
                <c:pt idx="7">
                  <c:v>0.16</c:v>
                </c:pt>
                <c:pt idx="8">
                  <c:v>0.84000000000000019</c:v>
                </c:pt>
                <c:pt idx="9">
                  <c:v>0.32000000000000012</c:v>
                </c:pt>
                <c:pt idx="10">
                  <c:v>0.68</c:v>
                </c:pt>
                <c:pt idx="11">
                  <c:v>0</c:v>
                </c:pt>
                <c:pt idx="12">
                  <c:v>0.68</c:v>
                </c:pt>
                <c:pt idx="13">
                  <c:v>0.32000000000000012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П.о. 5кл.</c:v>
                </c:pt>
              </c:strCache>
            </c:strRef>
          </c:tx>
          <c:cat>
            <c:multiLvlStrRef>
              <c:f>Лист1!$B$1:$V$2</c:f>
              <c:multiLvlStrCache>
                <c:ptCount val="21"/>
                <c:lvl>
                  <c:pt idx="0">
                    <c:v>поверхностное</c:v>
                  </c:pt>
                  <c:pt idx="1">
                    <c:v>формальное</c:v>
                  </c:pt>
                  <c:pt idx="2">
                    <c:v>целенаправленное</c:v>
                  </c:pt>
                  <c:pt idx="3">
                    <c:v>поверхностное</c:v>
                  </c:pt>
                  <c:pt idx="4">
                    <c:v>формальное</c:v>
                  </c:pt>
                  <c:pt idx="5">
                    <c:v>целенаправленное</c:v>
                  </c:pt>
                  <c:pt idx="6">
                    <c:v>отсутст. речи</c:v>
                  </c:pt>
                  <c:pt idx="7">
                    <c:v>неслов. средсв.</c:v>
                  </c:pt>
                  <c:pt idx="8">
                    <c:v>речь</c:v>
                  </c:pt>
                  <c:pt idx="9">
                    <c:v>не понимают</c:v>
                  </c:pt>
                  <c:pt idx="10">
                    <c:v>понимают после повтор.</c:v>
                  </c:pt>
                  <c:pt idx="11">
                    <c:v>понимают</c:v>
                  </c:pt>
                  <c:pt idx="12">
                    <c:v>не поним.</c:v>
                  </c:pt>
                  <c:pt idx="13">
                    <c:v>поним. после  показа</c:v>
                  </c:pt>
                  <c:pt idx="14">
                    <c:v>понимают</c:v>
                  </c:pt>
                  <c:pt idx="15">
                    <c:v>не используют</c:v>
                  </c:pt>
                  <c:pt idx="16">
                    <c:v>используют с помощью</c:v>
                  </c:pt>
                  <c:pt idx="17">
                    <c:v>используют самостоятельно</c:v>
                  </c:pt>
                  <c:pt idx="18">
                    <c:v>личностное</c:v>
                  </c:pt>
                  <c:pt idx="19">
                    <c:v>познавательное</c:v>
                  </c:pt>
                  <c:pt idx="20">
                    <c:v>деловое</c:v>
                  </c:pt>
                </c:lvl>
                <c:lvl>
                  <c:pt idx="0">
                    <c:v>Общение со сверстниками</c:v>
                  </c:pt>
                  <c:pt idx="3">
                    <c:v>Общение со взрослыми</c:v>
                  </c:pt>
                  <c:pt idx="6">
                    <c:v>Средства общения</c:v>
                  </c:pt>
                  <c:pt idx="9">
                    <c:v>Понимание обращенной речи</c:v>
                  </c:pt>
                  <c:pt idx="12">
                    <c:v>Понимание жестов и мимики</c:v>
                  </c:pt>
                  <c:pt idx="15">
                    <c:v>Использование жестов и мимики</c:v>
                  </c:pt>
                  <c:pt idx="18">
                    <c:v>Тип общения</c:v>
                  </c:pt>
                </c:lvl>
              </c:multiLvlStrCache>
            </c:multiLvlStrRef>
          </c:cat>
          <c:val>
            <c:numRef>
              <c:f>Лист1!$B$4:$V$4</c:f>
              <c:numCache>
                <c:formatCode>0%</c:formatCode>
                <c:ptCount val="21"/>
                <c:pt idx="0">
                  <c:v>0</c:v>
                </c:pt>
                <c:pt idx="1">
                  <c:v>0.32000000000000012</c:v>
                </c:pt>
                <c:pt idx="2">
                  <c:v>0.68</c:v>
                </c:pt>
                <c:pt idx="3">
                  <c:v>0</c:v>
                </c:pt>
                <c:pt idx="4">
                  <c:v>0.5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0.68</c:v>
                </c:pt>
                <c:pt idx="11">
                  <c:v>0.32000000000000012</c:v>
                </c:pt>
                <c:pt idx="12">
                  <c:v>0</c:v>
                </c:pt>
                <c:pt idx="13">
                  <c:v>0.84000000000000019</c:v>
                </c:pt>
                <c:pt idx="14">
                  <c:v>0.16</c:v>
                </c:pt>
                <c:pt idx="15">
                  <c:v>0.16</c:v>
                </c:pt>
                <c:pt idx="16">
                  <c:v>0.84000000000000019</c:v>
                </c:pt>
                <c:pt idx="17">
                  <c:v>0</c:v>
                </c:pt>
                <c:pt idx="18">
                  <c:v>0.16</c:v>
                </c:pt>
                <c:pt idx="19">
                  <c:v>0.84000000000000019</c:v>
                </c:pt>
                <c:pt idx="20">
                  <c:v>0</c:v>
                </c:pt>
              </c:numCache>
            </c:numRef>
          </c:val>
        </c:ser>
        <c:axId val="148249600"/>
        <c:axId val="148255488"/>
      </c:barChart>
      <c:catAx>
        <c:axId val="148249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48255488"/>
        <c:crosses val="autoZero"/>
        <c:auto val="1"/>
        <c:lblAlgn val="ctr"/>
        <c:lblOffset val="100"/>
      </c:catAx>
      <c:valAx>
        <c:axId val="148255488"/>
        <c:scaling>
          <c:orientation val="minMax"/>
        </c:scaling>
        <c:axPos val="l"/>
        <c:majorGridlines/>
        <c:numFmt formatCode="0%" sourceLinked="1"/>
        <c:tickLblPos val="nextTo"/>
        <c:crossAx val="148249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574468085106393E-2"/>
          <c:y val="9.6618357487922704E-2"/>
          <c:w val="0.56382978723404265"/>
          <c:h val="0.502415458937198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коллективизм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первый год обучения 2005-2006</c:v>
                </c:pt>
                <c:pt idx="1">
                  <c:v>второй год обучения 2006-2007</c:v>
                </c:pt>
                <c:pt idx="2">
                  <c:v>третий год обучения 2007-2008</c:v>
                </c:pt>
                <c:pt idx="3">
                  <c:v>четвертый год обучения 2008-2009</c:v>
                </c:pt>
                <c:pt idx="4">
                  <c:v>пятый год обучения 2009-2010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2.2999999999999998</c:v>
                </c:pt>
                <c:pt idx="2">
                  <c:v>3.2</c:v>
                </c:pt>
                <c:pt idx="3">
                  <c:v>3.7</c:v>
                </c:pt>
                <c:pt idx="4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трудолюбие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первый год обучения 2005-2006</c:v>
                </c:pt>
                <c:pt idx="1">
                  <c:v>второй год обучения 2006-2007</c:v>
                </c:pt>
                <c:pt idx="2">
                  <c:v>третий год обучения 2007-2008</c:v>
                </c:pt>
                <c:pt idx="3">
                  <c:v>четвертый год обучения 2008-2009</c:v>
                </c:pt>
                <c:pt idx="4">
                  <c:v>пятый год обучения 2009-2010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1.8</c:v>
                </c:pt>
                <c:pt idx="1">
                  <c:v>2.4</c:v>
                </c:pt>
                <c:pt idx="2">
                  <c:v>3.4</c:v>
                </c:pt>
                <c:pt idx="3">
                  <c:v>4</c:v>
                </c:pt>
                <c:pt idx="4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гражданская позиция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первый год обучения 2005-2006</c:v>
                </c:pt>
                <c:pt idx="1">
                  <c:v>второй год обучения 2006-2007</c:v>
                </c:pt>
                <c:pt idx="2">
                  <c:v>третий год обучения 2007-2008</c:v>
                </c:pt>
                <c:pt idx="3">
                  <c:v>четвертый год обучения 2008-2009</c:v>
                </c:pt>
                <c:pt idx="4">
                  <c:v>пятый год обучения 2009-2010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1.7</c:v>
                </c:pt>
                <c:pt idx="1">
                  <c:v>2.2999999999999998</c:v>
                </c:pt>
                <c:pt idx="2">
                  <c:v>3.2</c:v>
                </c:pt>
                <c:pt idx="3">
                  <c:v>3.6</c:v>
                </c:pt>
                <c:pt idx="4">
                  <c:v>4.2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отношение к окружающему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первый год обучения 2005-2006</c:v>
                </c:pt>
                <c:pt idx="1">
                  <c:v>второй год обучения 2006-2007</c:v>
                </c:pt>
                <c:pt idx="2">
                  <c:v>третий год обучения 2007-2008</c:v>
                </c:pt>
                <c:pt idx="3">
                  <c:v>четвертый год обучения 2008-2009</c:v>
                </c:pt>
                <c:pt idx="4">
                  <c:v>пятый год обучения 2009-2010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</c:v>
                </c:pt>
                <c:pt idx="1">
                  <c:v>2.4</c:v>
                </c:pt>
                <c:pt idx="2">
                  <c:v>3.3</c:v>
                </c:pt>
                <c:pt idx="3">
                  <c:v>3.7</c:v>
                </c:pt>
                <c:pt idx="4">
                  <c:v>4.3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общественнная активность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первый год обучения 2005-2006</c:v>
                </c:pt>
                <c:pt idx="1">
                  <c:v>второй год обучения 2006-2007</c:v>
                </c:pt>
                <c:pt idx="2">
                  <c:v>третий год обучения 2007-2008</c:v>
                </c:pt>
                <c:pt idx="3">
                  <c:v>четвертый год обучения 2008-2009</c:v>
                </c:pt>
                <c:pt idx="4">
                  <c:v>пятый год обучения 2009-2010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1.7</c:v>
                </c:pt>
                <c:pt idx="1">
                  <c:v>2.4</c:v>
                </c:pt>
                <c:pt idx="2">
                  <c:v>3.6</c:v>
                </c:pt>
                <c:pt idx="3">
                  <c:v>4.2</c:v>
                </c:pt>
                <c:pt idx="4">
                  <c:v>4.4000000000000004</c:v>
                </c:pt>
              </c:numCache>
            </c:numRef>
          </c:val>
        </c:ser>
        <c:axId val="148306176"/>
        <c:axId val="101654528"/>
      </c:barChart>
      <c:catAx>
        <c:axId val="148306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54528"/>
        <c:crosses val="autoZero"/>
        <c:auto val="1"/>
        <c:lblAlgn val="ctr"/>
        <c:lblOffset val="100"/>
        <c:tickLblSkip val="2"/>
        <c:tickMarkSkip val="1"/>
      </c:catAx>
      <c:valAx>
        <c:axId val="101654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30617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489361702127685"/>
          <c:y val="0.28985507246376818"/>
          <c:w val="0.2744680851063831"/>
          <c:h val="0.666666666666666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20168067226885E-2"/>
          <c:y val="0.10989010989010992"/>
          <c:w val="0.94957983193277329"/>
          <c:h val="0.802197802197802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год обуч.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внешний</c:v>
                </c:pt>
                <c:pt idx="1">
                  <c:v>игровой</c:v>
                </c:pt>
                <c:pt idx="2">
                  <c:v>социальный</c:v>
                </c:pt>
                <c:pt idx="3">
                  <c:v>оценочный</c:v>
                </c:pt>
                <c:pt idx="4">
                  <c:v>учебный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59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год обуч.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внешний</c:v>
                </c:pt>
                <c:pt idx="1">
                  <c:v>игровой</c:v>
                </c:pt>
                <c:pt idx="2">
                  <c:v>социальный</c:v>
                </c:pt>
                <c:pt idx="3">
                  <c:v>оценочный</c:v>
                </c:pt>
                <c:pt idx="4">
                  <c:v>учебный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</c:v>
                </c:pt>
                <c:pt idx="1">
                  <c:v>46</c:v>
                </c:pt>
                <c:pt idx="2">
                  <c:v>11</c:v>
                </c:pt>
                <c:pt idx="3">
                  <c:v>15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внешний</c:v>
                </c:pt>
                <c:pt idx="1">
                  <c:v>игровой</c:v>
                </c:pt>
                <c:pt idx="2">
                  <c:v>социальный</c:v>
                </c:pt>
                <c:pt idx="3">
                  <c:v>оценочный</c:v>
                </c:pt>
                <c:pt idx="4">
                  <c:v>учебный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48194432"/>
        <c:axId val="148195968"/>
        <c:axId val="0"/>
      </c:bar3DChart>
      <c:catAx>
        <c:axId val="14819443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195968"/>
        <c:crosses val="autoZero"/>
        <c:auto val="1"/>
        <c:lblAlgn val="ctr"/>
        <c:lblOffset val="100"/>
        <c:tickLblSkip val="1"/>
        <c:tickMarkSkip val="1"/>
      </c:catAx>
      <c:valAx>
        <c:axId val="1481959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194432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59943977591036368"/>
          <c:y val="0"/>
          <c:w val="0.40056022408963587"/>
          <c:h val="0.4835164835164836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>WareZ Provider 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2010-07-22T20:02:00Z</dcterms:created>
  <dcterms:modified xsi:type="dcterms:W3CDTF">2010-07-22T20:03:00Z</dcterms:modified>
</cp:coreProperties>
</file>