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6" w:rsidRPr="00FE468C" w:rsidRDefault="004F5766" w:rsidP="004F576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468C">
        <w:rPr>
          <w:rFonts w:ascii="Times New Roman" w:hAnsi="Times New Roman"/>
          <w:b/>
          <w:sz w:val="28"/>
          <w:szCs w:val="28"/>
        </w:rPr>
        <w:t>Результаты анкетирования</w:t>
      </w: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-113634</wp:posOffset>
            </wp:positionH>
            <wp:positionV relativeFrom="paragraph">
              <wp:posOffset>133059</wp:posOffset>
            </wp:positionV>
            <wp:extent cx="4743855" cy="5585552"/>
            <wp:effectExtent l="19050" t="0" r="18645" b="0"/>
            <wp:wrapNone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F5766" w:rsidRDefault="004F5766" w:rsidP="004F5766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DB6816" w:rsidRDefault="00DB6816"/>
    <w:sectPr w:rsidR="00DB6816" w:rsidSect="00DB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66"/>
    <w:rsid w:val="0011423F"/>
    <w:rsid w:val="004857EB"/>
    <w:rsid w:val="004F5766"/>
    <w:rsid w:val="0055196A"/>
    <w:rsid w:val="00975070"/>
    <w:rsid w:val="00A06F2C"/>
    <w:rsid w:val="00DB6816"/>
    <w:rsid w:val="00E225CC"/>
    <w:rsid w:val="00E6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66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СВОДНЫЕ</a:t>
            </a:r>
            <a:r>
              <a:rPr lang="ru-RU" baseline="0"/>
              <a:t> ДАННЫЕ 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7522042654048384E-2"/>
          <c:y val="0.18752297062722478"/>
          <c:w val="0.8279162295724265"/>
          <c:h val="0.60422238587082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2803638309256375E-2"/>
                  <c:y val="-6.3948840927258208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78%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3.4242910647405117E-2"/>
                  <c:y val="-8.9528377298161738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40%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5.5644729802033277E-2"/>
                  <c:y val="6.7146282973621255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57%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4.9224184055644833E-2"/>
                  <c:y val="2.2382094324540372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9%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0.11556982343499202"/>
                  <c:y val="-2.5176709026479744E-7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86%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2.6084982620415798E-2"/>
                  <c:y val="-8.616429458618699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40%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0"/>
                  <c:y val="-7.6738609112709924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49%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5.9925093632958823E-2"/>
                  <c:y val="-4.4764188649080772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66%</a:t>
                    </a:r>
                  </a:p>
                </c:rich>
              </c:tx>
              <c:dLblPos val="bestFit"/>
            </c:dLbl>
            <c:numFmt formatCode="General" sourceLinked="0"/>
            <c:txPr>
              <a:bodyPr/>
              <a:lstStyle/>
              <a:p>
                <a:pPr>
                  <a:defRPr sz="1404" b="1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Лист1!$A$2:$A$10</c:f>
              <c:strCache>
                <c:ptCount val="8"/>
                <c:pt idx="0">
                  <c:v>1. ЕЛ ЛИ ГАГАРИН</c:v>
                </c:pt>
                <c:pt idx="1">
                  <c:v>2. КАЛОРИЙНОСТЬ ПИТАНИЯ КОСМОНАВТОВ</c:v>
                </c:pt>
                <c:pt idx="2">
                  <c:v>3. ПЕРВЫМ СЪЕЛ ПОЛНОЦЕННЫЙ ОБЕД</c:v>
                </c:pt>
                <c:pt idx="3">
                  <c:v>4. ПЕРИОДИЧНОСТЬ ПРИЕМА ПИЩИ</c:v>
                </c:pt>
                <c:pt idx="4">
                  <c:v>5. УПАКОВКА КОСМИЧЕСКОЙ ПИЩИ</c:v>
                </c:pt>
                <c:pt idx="5">
                  <c:v>6. ГЛАВНОЕ ТРЕБОВАНИЕ К КОСМИЧЕСКОЙ ЕДЕ</c:v>
                </c:pt>
                <c:pt idx="6">
                  <c:v>7. КОСМИЧЕСКАЯ ЕДА СЕГОДНЯ</c:v>
                </c:pt>
                <c:pt idx="7">
                  <c:v>8. ФИЗИЧЕСКИЕ ПРОЦЕССЫ, ИСПОЛЬЗУЕМЫЕ ПРИ СОЗДАНИИ ЕДЫ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78</c:v>
                </c:pt>
                <c:pt idx="1">
                  <c:v>40</c:v>
                </c:pt>
                <c:pt idx="2">
                  <c:v>57</c:v>
                </c:pt>
                <c:pt idx="3">
                  <c:v>9</c:v>
                </c:pt>
                <c:pt idx="4">
                  <c:v>86</c:v>
                </c:pt>
                <c:pt idx="5">
                  <c:v>40</c:v>
                </c:pt>
                <c:pt idx="6">
                  <c:v>49</c:v>
                </c:pt>
                <c:pt idx="7">
                  <c:v>66</c:v>
                </c:pt>
              </c:numCache>
            </c:numRef>
          </c:val>
        </c:ser>
        <c:dLbls>
          <c:showPercent val="1"/>
        </c:dLbls>
      </c:pie3DChart>
      <c:spPr>
        <a:noFill/>
        <a:ln w="25478">
          <a:noFill/>
        </a:ln>
      </c:spPr>
    </c:plotArea>
    <c:legend>
      <c:legendPos val="b"/>
      <c:layout>
        <c:manualLayout>
          <c:xMode val="edge"/>
          <c:yMode val="edge"/>
          <c:x val="0"/>
          <c:y val="0.75867400587465761"/>
          <c:w val="1"/>
          <c:h val="0.24132599412534259"/>
        </c:manualLayout>
      </c:layout>
      <c:txPr>
        <a:bodyPr/>
        <a:lstStyle/>
        <a:p>
          <a:pPr rtl="0">
            <a:defRPr sz="1204" b="1"/>
          </a:pPr>
          <a:endParaRPr lang="ru-RU"/>
        </a:p>
      </c:txPr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0.52512</cdr:x>
      <cdr:y>0.25913</cdr:y>
    </cdr:from>
    <cdr:to>
      <cdr:x>0.65354</cdr:x>
      <cdr:y>0.32269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6140" y="1835538"/>
          <a:ext cx="769338" cy="378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ЕЛ</a:t>
          </a:r>
        </a:p>
      </cdr:txBody>
    </cdr:sp>
  </cdr:relSizeAnchor>
  <cdr:relSizeAnchor xmlns:cdr="http://schemas.openxmlformats.org/drawingml/2006/chartDrawing">
    <cdr:from>
      <cdr:x>0.27962</cdr:x>
      <cdr:y>0.2641</cdr:y>
    </cdr:from>
    <cdr:to>
      <cdr:x>0.47063</cdr:x>
      <cdr:y>0.38036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75238" y="1864936"/>
          <a:ext cx="1144391" cy="694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НЕ ЗНАЮТ</a:t>
          </a:r>
        </a:p>
      </cdr:txBody>
    </cdr:sp>
  </cdr:relSizeAnchor>
  <cdr:relSizeAnchor xmlns:cdr="http://schemas.openxmlformats.org/drawingml/2006/chartDrawing">
    <cdr:from>
      <cdr:x>0.1114</cdr:x>
      <cdr:y>0.34486</cdr:y>
    </cdr:from>
    <cdr:to>
      <cdr:x>0.29438</cdr:x>
      <cdr:y>0.46088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67407" y="2347147"/>
          <a:ext cx="1096308" cy="694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НЕ ЗНАЮТ</a:t>
          </a:r>
        </a:p>
      </cdr:txBody>
    </cdr:sp>
  </cdr:relSizeAnchor>
  <cdr:relSizeAnchor xmlns:cdr="http://schemas.openxmlformats.org/drawingml/2006/chartDrawing">
    <cdr:from>
      <cdr:x>0.13216</cdr:x>
      <cdr:y>0.437</cdr:y>
    </cdr:from>
    <cdr:to>
      <cdr:x>0.31835</cdr:x>
      <cdr:y>0.55302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91783" y="2899300"/>
          <a:ext cx="1115541" cy="694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НЕ ЗНАЮТ</a:t>
          </a:r>
        </a:p>
      </cdr:txBody>
    </cdr:sp>
  </cdr:relSizeAnchor>
  <cdr:relSizeAnchor xmlns:cdr="http://schemas.openxmlformats.org/drawingml/2006/chartDrawing">
    <cdr:from>
      <cdr:x>0.374</cdr:x>
      <cdr:y>0.49404</cdr:y>
    </cdr:from>
    <cdr:to>
      <cdr:x>0.55859</cdr:x>
      <cdr:y>0.6135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219325" y="2028825"/>
          <a:ext cx="109537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ТУБЫ</a:t>
          </a:r>
        </a:p>
      </cdr:txBody>
    </cdr:sp>
  </cdr:relSizeAnchor>
  <cdr:relSizeAnchor xmlns:cdr="http://schemas.openxmlformats.org/drawingml/2006/chartDrawing">
    <cdr:from>
      <cdr:x>0.59852</cdr:x>
      <cdr:y>0.53063</cdr:y>
    </cdr:from>
    <cdr:to>
      <cdr:x>0.73174</cdr:x>
      <cdr:y>0.62042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585849" y="3459608"/>
          <a:ext cx="798189" cy="5366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4-5 ЧАСОВ</a:t>
          </a:r>
        </a:p>
      </cdr:txBody>
    </cdr:sp>
  </cdr:relSizeAnchor>
  <cdr:relSizeAnchor xmlns:cdr="http://schemas.openxmlformats.org/drawingml/2006/chartDrawing">
    <cdr:from>
      <cdr:x>0.63242</cdr:x>
      <cdr:y>0.4152</cdr:y>
    </cdr:from>
    <cdr:to>
      <cdr:x>0.80096</cdr:x>
      <cdr:y>0.50174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52850" y="1733550"/>
          <a:ext cx="10001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НЕ ЗНАЮТ</a:t>
          </a:r>
        </a:p>
      </cdr:txBody>
    </cdr:sp>
  </cdr:relSizeAnchor>
  <cdr:relSizeAnchor xmlns:cdr="http://schemas.openxmlformats.org/drawingml/2006/chartDrawing">
    <cdr:from>
      <cdr:x>0.65898</cdr:x>
      <cdr:y>0.3658</cdr:y>
    </cdr:from>
    <cdr:to>
      <cdr:x>0.8837</cdr:x>
      <cdr:y>0.47652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948074" y="2473416"/>
          <a:ext cx="1346343" cy="6629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ОТ 2800</a:t>
          </a:r>
          <a:r>
            <a:rPr lang="ru-RU" sz="1100" b="1" baseline="0"/>
            <a:t> ДО 4000</a:t>
          </a:r>
          <a:endParaRPr lang="ru-RU" sz="1100" b="1"/>
        </a:p>
      </cdr:txBody>
    </cdr:sp>
  </cdr:relSizeAnchor>
  <cdr:relSizeAnchor xmlns:cdr="http://schemas.openxmlformats.org/drawingml/2006/chartDrawing">
    <cdr:from>
      <cdr:x>0.57889</cdr:x>
      <cdr:y>0.16845</cdr:y>
    </cdr:from>
    <cdr:to>
      <cdr:x>0.74894</cdr:x>
      <cdr:y>0.23945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746183" y="940873"/>
          <a:ext cx="806668" cy="3965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 ВОПРОС</a:t>
          </a:r>
        </a:p>
      </cdr:txBody>
    </cdr:sp>
  </cdr:relSizeAnchor>
  <cdr:relSizeAnchor xmlns:cdr="http://schemas.openxmlformats.org/drawingml/2006/chartDrawing">
    <cdr:from>
      <cdr:x>0.89085</cdr:x>
      <cdr:y>0.33313</cdr:y>
    </cdr:from>
    <cdr:to>
      <cdr:x>1</cdr:x>
      <cdr:y>0.40438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484770" y="2278134"/>
          <a:ext cx="653938" cy="426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2 ВОПРОС</a:t>
          </a:r>
        </a:p>
      </cdr:txBody>
    </cdr:sp>
  </cdr:relSizeAnchor>
  <cdr:relSizeAnchor xmlns:cdr="http://schemas.openxmlformats.org/drawingml/2006/chartDrawing">
    <cdr:from>
      <cdr:x>0.87291</cdr:x>
      <cdr:y>0.61361</cdr:y>
    </cdr:from>
    <cdr:to>
      <cdr:x>0.98612</cdr:x>
      <cdr:y>0.67507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234800" y="3954484"/>
          <a:ext cx="678901" cy="368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3 ВОПРОС</a:t>
          </a:r>
        </a:p>
      </cdr:txBody>
    </cdr:sp>
  </cdr:relSizeAnchor>
  <cdr:relSizeAnchor xmlns:cdr="http://schemas.openxmlformats.org/drawingml/2006/chartDrawing">
    <cdr:from>
      <cdr:x>0.71127</cdr:x>
      <cdr:y>0.72189</cdr:y>
    </cdr:from>
    <cdr:to>
      <cdr:x>0.89794</cdr:x>
      <cdr:y>0.81198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374145" y="4032175"/>
          <a:ext cx="885553" cy="503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 ВОПРОС</a:t>
          </a:r>
        </a:p>
      </cdr:txBody>
    </cdr:sp>
  </cdr:relSizeAnchor>
  <cdr:relSizeAnchor xmlns:cdr="http://schemas.openxmlformats.org/drawingml/2006/chartDrawing">
    <cdr:from>
      <cdr:x>0</cdr:x>
      <cdr:y>0.50635</cdr:y>
    </cdr:from>
    <cdr:to>
      <cdr:x>0.15158</cdr:x>
      <cdr:y>0.5776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0" y="2828269"/>
          <a:ext cx="719080" cy="397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6 ВОПРОС</a:t>
          </a:r>
        </a:p>
      </cdr:txBody>
    </cdr:sp>
  </cdr:relSizeAnchor>
  <cdr:relSizeAnchor xmlns:cdr="http://schemas.openxmlformats.org/drawingml/2006/chartDrawing">
    <cdr:from>
      <cdr:x>0.27425</cdr:x>
      <cdr:y>0.67456</cdr:y>
    </cdr:from>
    <cdr:to>
      <cdr:x>0.4233</cdr:x>
      <cdr:y>0.75162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1300985" y="3767769"/>
          <a:ext cx="707067" cy="4304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5 ВОПРОС</a:t>
          </a:r>
        </a:p>
      </cdr:txBody>
    </cdr:sp>
  </cdr:relSizeAnchor>
  <cdr:relSizeAnchor xmlns:cdr="http://schemas.openxmlformats.org/drawingml/2006/chartDrawing">
    <cdr:from>
      <cdr:x>0.01079</cdr:x>
      <cdr:y>0.30504</cdr:y>
    </cdr:from>
    <cdr:to>
      <cdr:x>0.16784</cdr:x>
      <cdr:y>0.41223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1186" y="1703817"/>
          <a:ext cx="745012" cy="598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 ВОПРОС</a:t>
          </a:r>
        </a:p>
      </cdr:txBody>
    </cdr:sp>
  </cdr:relSizeAnchor>
  <cdr:relSizeAnchor xmlns:cdr="http://schemas.openxmlformats.org/drawingml/2006/chartDrawing">
    <cdr:from>
      <cdr:x>0.30018</cdr:x>
      <cdr:y>0.16448</cdr:y>
    </cdr:from>
    <cdr:to>
      <cdr:x>0.44652</cdr:x>
      <cdr:y>0.23373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1424010" y="918712"/>
          <a:ext cx="694212" cy="386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 ВОПРОС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2011-10-22T20:47:00Z</dcterms:created>
  <dcterms:modified xsi:type="dcterms:W3CDTF">2011-10-22T20:49:00Z</dcterms:modified>
</cp:coreProperties>
</file>